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FE540B" w14:textId="77777777" w:rsidR="000A50C1" w:rsidRPr="0000020F" w:rsidRDefault="000A50C1">
      <w:pPr>
        <w:keepLines/>
        <w:widowControl w:val="0"/>
        <w:rPr>
          <w:snapToGrid w:val="0"/>
          <w:color w:val="FF0000"/>
          <w:sz w:val="32"/>
          <w:szCs w:val="32"/>
        </w:rPr>
      </w:pPr>
    </w:p>
    <w:p w14:paraId="5AA53443" w14:textId="03111E2F" w:rsidR="000A50C1" w:rsidRPr="00FE72A8" w:rsidRDefault="00CB7864" w:rsidP="00FE72A8">
      <w:pPr>
        <w:widowControl w:val="0"/>
        <w:tabs>
          <w:tab w:val="left" w:pos="2070"/>
          <w:tab w:val="left" w:pos="3870"/>
          <w:tab w:val="left" w:pos="5670"/>
          <w:tab w:val="left" w:pos="7830"/>
          <w:tab w:val="left" w:pos="8550"/>
          <w:tab w:val="left" w:pos="9270"/>
          <w:tab w:val="left" w:pos="9360"/>
        </w:tabs>
        <w:rPr>
          <w:b/>
          <w:bCs/>
          <w:snapToGrid w:val="0"/>
          <w:color w:val="FF0000"/>
          <w:sz w:val="24"/>
          <w:szCs w:val="24"/>
        </w:rPr>
      </w:pPr>
      <w:r>
        <w:rPr>
          <w:snapToGrid w:val="0"/>
          <w:color w:val="FF0000"/>
          <w:sz w:val="24"/>
          <w:szCs w:val="24"/>
        </w:rPr>
        <w:t xml:space="preserve">                                            </w:t>
      </w:r>
      <w:r w:rsidR="00FE72A8">
        <w:rPr>
          <w:snapToGrid w:val="0"/>
          <w:color w:val="FF0000"/>
          <w:sz w:val="24"/>
          <w:szCs w:val="24"/>
        </w:rPr>
        <w:t xml:space="preserve"> </w:t>
      </w:r>
      <w:r w:rsidR="000A50C1" w:rsidRPr="00FE72A8">
        <w:rPr>
          <w:b/>
          <w:bCs/>
          <w:sz w:val="28"/>
          <w:szCs w:val="28"/>
        </w:rPr>
        <w:t>Wooster Rolling Wheels Estates</w:t>
      </w:r>
    </w:p>
    <w:p w14:paraId="0ED2CA0E" w14:textId="77777777" w:rsidR="000A50C1" w:rsidRPr="000C64A7" w:rsidRDefault="000A50C1">
      <w:pPr>
        <w:widowControl w:val="0"/>
        <w:tabs>
          <w:tab w:val="left" w:pos="2070"/>
          <w:tab w:val="left" w:pos="3870"/>
          <w:tab w:val="left" w:pos="5670"/>
          <w:tab w:val="left" w:pos="7830"/>
          <w:tab w:val="left" w:pos="8550"/>
          <w:tab w:val="left" w:pos="9270"/>
          <w:tab w:val="left" w:pos="9360"/>
        </w:tabs>
        <w:jc w:val="center"/>
        <w:rPr>
          <w:snapToGrid w:val="0"/>
          <w:sz w:val="28"/>
          <w:szCs w:val="28"/>
        </w:rPr>
      </w:pPr>
      <w:r w:rsidRPr="000C64A7">
        <w:rPr>
          <w:b/>
          <w:bCs/>
          <w:iCs/>
          <w:snapToGrid w:val="0"/>
          <w:sz w:val="28"/>
          <w:szCs w:val="28"/>
        </w:rPr>
        <w:t>Annual Drinking Water Quality Report</w:t>
      </w:r>
    </w:p>
    <w:p w14:paraId="479E3B26" w14:textId="49A0D112" w:rsidR="000A50C1" w:rsidRPr="00AF7728" w:rsidRDefault="000A50C1">
      <w:pPr>
        <w:widowControl w:val="0"/>
        <w:tabs>
          <w:tab w:val="left" w:pos="2070"/>
          <w:tab w:val="left" w:pos="3870"/>
          <w:tab w:val="left" w:pos="5670"/>
          <w:tab w:val="left" w:pos="7830"/>
          <w:tab w:val="left" w:pos="8550"/>
          <w:tab w:val="left" w:pos="9270"/>
          <w:tab w:val="left" w:pos="9360"/>
        </w:tabs>
        <w:rPr>
          <w:b/>
          <w:snapToGrid w:val="0"/>
          <w:color w:val="000000"/>
          <w:sz w:val="24"/>
          <w:szCs w:val="24"/>
        </w:rPr>
      </w:pPr>
      <w:r>
        <w:rPr>
          <w:snapToGrid w:val="0"/>
          <w:color w:val="FF0000"/>
          <w:sz w:val="24"/>
          <w:szCs w:val="24"/>
        </w:rPr>
        <w:t xml:space="preserve">                                                   </w:t>
      </w:r>
      <w:r w:rsidR="002C397D">
        <w:rPr>
          <w:snapToGrid w:val="0"/>
          <w:color w:val="000000"/>
          <w:sz w:val="24"/>
          <w:szCs w:val="24"/>
        </w:rPr>
        <w:t xml:space="preserve">                   </w:t>
      </w:r>
      <w:r w:rsidR="002C0B9B">
        <w:rPr>
          <w:b/>
          <w:snapToGrid w:val="0"/>
          <w:color w:val="000000"/>
          <w:sz w:val="24"/>
          <w:szCs w:val="24"/>
        </w:rPr>
        <w:t>202</w:t>
      </w:r>
      <w:r w:rsidR="00295E3F">
        <w:rPr>
          <w:b/>
          <w:snapToGrid w:val="0"/>
          <w:color w:val="000000"/>
          <w:sz w:val="24"/>
          <w:szCs w:val="24"/>
        </w:rPr>
        <w:t>4</w:t>
      </w:r>
    </w:p>
    <w:p w14:paraId="1C500643" w14:textId="77777777" w:rsidR="000A50C1" w:rsidRDefault="000A50C1">
      <w:pPr>
        <w:widowControl w:val="0"/>
        <w:tabs>
          <w:tab w:val="left" w:pos="2070"/>
          <w:tab w:val="left" w:pos="3870"/>
          <w:tab w:val="left" w:pos="5670"/>
          <w:tab w:val="left" w:pos="7830"/>
          <w:tab w:val="left" w:pos="8550"/>
          <w:tab w:val="left" w:pos="9270"/>
          <w:tab w:val="left" w:pos="9360"/>
        </w:tabs>
        <w:rPr>
          <w:snapToGrid w:val="0"/>
          <w:color w:val="FF0000"/>
          <w:sz w:val="36"/>
          <w:szCs w:val="36"/>
        </w:rPr>
      </w:pPr>
      <w:r>
        <w:rPr>
          <w:snapToGrid w:val="0"/>
          <w:color w:val="FF0000"/>
          <w:sz w:val="36"/>
          <w:szCs w:val="36"/>
        </w:rPr>
        <w:t xml:space="preserve">                               </w:t>
      </w:r>
    </w:p>
    <w:p w14:paraId="5A1FA3C6" w14:textId="027C9DA5" w:rsidR="00163939" w:rsidRDefault="000A50C1" w:rsidP="00163939">
      <w:pPr>
        <w:keepLines/>
        <w:widowControl w:val="0"/>
        <w:tabs>
          <w:tab w:val="left" w:pos="720"/>
          <w:tab w:val="left" w:pos="3870"/>
          <w:tab w:val="left" w:pos="5670"/>
          <w:tab w:val="left" w:pos="7830"/>
          <w:tab w:val="left" w:pos="8550"/>
          <w:tab w:val="left" w:pos="8640"/>
          <w:tab w:val="left" w:pos="9360"/>
        </w:tabs>
        <w:jc w:val="both"/>
        <w:rPr>
          <w:snapToGrid w:val="0"/>
          <w:sz w:val="24"/>
          <w:szCs w:val="24"/>
        </w:rPr>
      </w:pPr>
      <w:r>
        <w:rPr>
          <w:snapToGrid w:val="0"/>
          <w:color w:val="FF0000"/>
          <w:sz w:val="36"/>
          <w:szCs w:val="36"/>
        </w:rPr>
        <w:t xml:space="preserve">   </w:t>
      </w:r>
      <w:r w:rsidR="00FA3C39">
        <w:rPr>
          <w:snapToGrid w:val="0"/>
          <w:color w:val="FF0000"/>
          <w:sz w:val="36"/>
          <w:szCs w:val="36"/>
        </w:rPr>
        <w:t xml:space="preserve">   </w:t>
      </w:r>
      <w:r>
        <w:rPr>
          <w:snapToGrid w:val="0"/>
          <w:sz w:val="24"/>
          <w:szCs w:val="24"/>
        </w:rPr>
        <w:t>We're pleased to present to you Wooster Rolling Wheels Estates Annual Water Quality Report. This report is designed to inform you about the quality of water and services we deliver to you every day. Our constant goal is to provide you with a safe and dependable supply of drinking water. We want you to understand the efforts we make to continually improve the water treatment process and protect our water resources. We are committed to ensuring the q</w:t>
      </w:r>
      <w:r w:rsidR="00B16A5F">
        <w:rPr>
          <w:snapToGrid w:val="0"/>
          <w:sz w:val="24"/>
          <w:szCs w:val="24"/>
        </w:rPr>
        <w:t xml:space="preserve">uality of your </w:t>
      </w:r>
      <w:r w:rsidR="00EF30AC">
        <w:rPr>
          <w:snapToGrid w:val="0"/>
          <w:sz w:val="24"/>
          <w:szCs w:val="24"/>
        </w:rPr>
        <w:t>water.</w:t>
      </w:r>
      <w:r w:rsidR="00163939" w:rsidRPr="00163939">
        <w:rPr>
          <w:snapToGrid w:val="0"/>
          <w:sz w:val="24"/>
          <w:szCs w:val="24"/>
        </w:rPr>
        <w:t xml:space="preserve"> </w:t>
      </w:r>
      <w:r w:rsidR="00163939">
        <w:rPr>
          <w:snapToGrid w:val="0"/>
          <w:sz w:val="24"/>
          <w:szCs w:val="24"/>
        </w:rPr>
        <w:t>As part of the improvements in 2024 an automatic generator has be added and will start if the power is off longer than 10 seconds and will supply water during an outage.</w:t>
      </w:r>
    </w:p>
    <w:p w14:paraId="0ADABC2C" w14:textId="77777777" w:rsidR="00163939" w:rsidRDefault="00163939" w:rsidP="00163939">
      <w:pPr>
        <w:keepLines/>
        <w:widowControl w:val="0"/>
        <w:tabs>
          <w:tab w:val="left" w:pos="720"/>
          <w:tab w:val="left" w:pos="3870"/>
          <w:tab w:val="left" w:pos="5670"/>
          <w:tab w:val="left" w:pos="7830"/>
          <w:tab w:val="left" w:pos="8550"/>
          <w:tab w:val="left" w:pos="8640"/>
          <w:tab w:val="left" w:pos="9360"/>
        </w:tabs>
        <w:jc w:val="both"/>
        <w:rPr>
          <w:snapToGrid w:val="0"/>
          <w:sz w:val="24"/>
          <w:szCs w:val="24"/>
        </w:rPr>
      </w:pPr>
      <w:r>
        <w:rPr>
          <w:snapToGrid w:val="0"/>
          <w:sz w:val="24"/>
          <w:szCs w:val="24"/>
        </w:rPr>
        <w:t xml:space="preserve"> </w:t>
      </w:r>
    </w:p>
    <w:p w14:paraId="0471A447" w14:textId="77777777" w:rsidR="00163939" w:rsidRDefault="00163939" w:rsidP="00163939">
      <w:pPr>
        <w:keepLines/>
        <w:widowControl w:val="0"/>
        <w:tabs>
          <w:tab w:val="left" w:pos="720"/>
          <w:tab w:val="left" w:pos="3870"/>
          <w:tab w:val="left" w:pos="5670"/>
          <w:tab w:val="left" w:pos="7830"/>
          <w:tab w:val="left" w:pos="8550"/>
          <w:tab w:val="left" w:pos="8640"/>
          <w:tab w:val="left" w:pos="9360"/>
        </w:tabs>
        <w:jc w:val="both"/>
        <w:rPr>
          <w:snapToGrid w:val="0"/>
          <w:sz w:val="24"/>
          <w:szCs w:val="24"/>
        </w:rPr>
      </w:pPr>
      <w:r>
        <w:rPr>
          <w:snapToGrid w:val="0"/>
          <w:sz w:val="24"/>
          <w:szCs w:val="24"/>
        </w:rPr>
        <w:t xml:space="preserve">    Along with assuring safe water the </w:t>
      </w:r>
      <w:r w:rsidRPr="00C766A8">
        <w:rPr>
          <w:b/>
          <w:bCs/>
          <w:snapToGrid w:val="0"/>
          <w:sz w:val="24"/>
          <w:szCs w:val="24"/>
        </w:rPr>
        <w:t>Ohio EPA has required all water systems do a</w:t>
      </w:r>
      <w:r>
        <w:rPr>
          <w:snapToGrid w:val="0"/>
          <w:sz w:val="24"/>
          <w:szCs w:val="24"/>
        </w:rPr>
        <w:t xml:space="preserve"> </w:t>
      </w:r>
      <w:r w:rsidRPr="002A7108">
        <w:rPr>
          <w:b/>
          <w:bCs/>
          <w:snapToGrid w:val="0"/>
          <w:sz w:val="24"/>
          <w:szCs w:val="24"/>
        </w:rPr>
        <w:t>Lead Line</w:t>
      </w:r>
      <w:r>
        <w:rPr>
          <w:snapToGrid w:val="0"/>
          <w:sz w:val="24"/>
          <w:szCs w:val="24"/>
        </w:rPr>
        <w:t xml:space="preserve"> </w:t>
      </w:r>
      <w:r w:rsidRPr="002A7108">
        <w:rPr>
          <w:b/>
          <w:bCs/>
          <w:snapToGrid w:val="0"/>
          <w:sz w:val="24"/>
          <w:szCs w:val="24"/>
        </w:rPr>
        <w:t>Inventory</w:t>
      </w:r>
      <w:r>
        <w:rPr>
          <w:snapToGrid w:val="0"/>
          <w:sz w:val="24"/>
          <w:szCs w:val="24"/>
        </w:rPr>
        <w:t xml:space="preserve">, Per the Lead and Copper Rule, Public Water Systems were required to develop and maintain a Service Line Inventory. A service line is the underground pipe that supplies your home or building with water. To view the Service Line Inventory, which list the material types for your location visit our web-site at stvohio.com or stop in at the office during open hours. We are pleased to inform you that no lead lines were found within the distribution lines.  </w:t>
      </w:r>
    </w:p>
    <w:p w14:paraId="30C19841" w14:textId="266C6F1A" w:rsidR="00EF4D93" w:rsidRDefault="00163939" w:rsidP="00D80B6B">
      <w:pPr>
        <w:widowControl w:val="0"/>
        <w:tabs>
          <w:tab w:val="left" w:pos="90"/>
          <w:tab w:val="left" w:pos="1890"/>
          <w:tab w:val="left" w:pos="2160"/>
          <w:tab w:val="left" w:pos="3690"/>
          <w:tab w:val="left" w:pos="5490"/>
          <w:tab w:val="left" w:pos="7650"/>
          <w:tab w:val="left" w:pos="8370"/>
          <w:tab w:val="left" w:pos="8460"/>
          <w:tab w:val="left" w:pos="9180"/>
          <w:tab w:val="left" w:pos="9270"/>
          <w:tab w:val="left" w:pos="9360"/>
        </w:tabs>
        <w:rPr>
          <w:snapToGrid w:val="0"/>
          <w:sz w:val="24"/>
          <w:szCs w:val="24"/>
        </w:rPr>
      </w:pPr>
      <w:r>
        <w:rPr>
          <w:snapToGrid w:val="0"/>
          <w:sz w:val="24"/>
          <w:szCs w:val="24"/>
        </w:rPr>
        <w:t xml:space="preserve">     </w:t>
      </w:r>
      <w:r w:rsidR="00D80B6B">
        <w:rPr>
          <w:snapToGrid w:val="0"/>
          <w:sz w:val="24"/>
          <w:szCs w:val="24"/>
        </w:rPr>
        <w:t xml:space="preserve"> </w:t>
      </w:r>
      <w:r w:rsidR="00D80B6B" w:rsidRPr="00D80B6B">
        <w:rPr>
          <w:snapToGrid w:val="0"/>
          <w:sz w:val="24"/>
          <w:szCs w:val="24"/>
        </w:rPr>
        <w:t xml:space="preserve"> </w:t>
      </w:r>
      <w:r w:rsidR="004A75AC">
        <w:rPr>
          <w:snapToGrid w:val="0"/>
          <w:sz w:val="24"/>
          <w:szCs w:val="24"/>
        </w:rPr>
        <w:t>I'm pleased to report o</w:t>
      </w:r>
      <w:r w:rsidR="00D80B6B">
        <w:rPr>
          <w:snapToGrid w:val="0"/>
          <w:sz w:val="24"/>
          <w:szCs w:val="24"/>
        </w:rPr>
        <w:t>ur drinking water is safe and meets federal and state requirements and we have a current, unconditional license to operate our water system. This report shows our water quality and what it means. Public participation and comments are encouraged.</w:t>
      </w:r>
      <w:r w:rsidR="00D80B6B">
        <w:rPr>
          <w:i/>
          <w:iCs/>
          <w:snapToGrid w:val="0"/>
          <w:sz w:val="24"/>
          <w:szCs w:val="24"/>
        </w:rPr>
        <w:t xml:space="preserve"> </w:t>
      </w:r>
      <w:r w:rsidR="00D80B6B">
        <w:rPr>
          <w:snapToGrid w:val="0"/>
          <w:sz w:val="24"/>
          <w:szCs w:val="24"/>
        </w:rPr>
        <w:t>If you have any questions about this report or concerning your water utility, please contact</w:t>
      </w:r>
      <w:r w:rsidR="009E2BA2">
        <w:rPr>
          <w:snapToGrid w:val="0"/>
          <w:sz w:val="24"/>
          <w:szCs w:val="24"/>
        </w:rPr>
        <w:t xml:space="preserve"> your office or </w:t>
      </w:r>
      <w:r>
        <w:rPr>
          <w:snapToGrid w:val="0"/>
          <w:sz w:val="24"/>
          <w:szCs w:val="24"/>
        </w:rPr>
        <w:t xml:space="preserve">call </w:t>
      </w:r>
      <w:r w:rsidRPr="00163939">
        <w:rPr>
          <w:snapToGrid w:val="0"/>
          <w:sz w:val="24"/>
          <w:szCs w:val="24"/>
        </w:rPr>
        <w:t>Richard</w:t>
      </w:r>
      <w:r w:rsidR="00D80B6B" w:rsidRPr="00163939">
        <w:rPr>
          <w:snapToGrid w:val="0"/>
          <w:sz w:val="24"/>
          <w:szCs w:val="24"/>
        </w:rPr>
        <w:t xml:space="preserve"> </w:t>
      </w:r>
      <w:r w:rsidR="00D80B6B">
        <w:rPr>
          <w:snapToGrid w:val="0"/>
          <w:sz w:val="24"/>
          <w:szCs w:val="24"/>
        </w:rPr>
        <w:t>Jackson at 330-201-0377</w:t>
      </w:r>
      <w:r w:rsidR="00D80B6B">
        <w:rPr>
          <w:b/>
          <w:bCs/>
          <w:snapToGrid w:val="0"/>
          <w:sz w:val="24"/>
          <w:szCs w:val="24"/>
        </w:rPr>
        <w:t>.</w:t>
      </w:r>
      <w:r w:rsidR="00D80B6B">
        <w:rPr>
          <w:snapToGrid w:val="0"/>
          <w:sz w:val="24"/>
          <w:szCs w:val="24"/>
        </w:rPr>
        <w:t xml:space="preserve">  If there is and emergencies or meetings about your water system you will be notified at your public notic</w:t>
      </w:r>
      <w:r w:rsidR="002C0B9B">
        <w:rPr>
          <w:snapToGrid w:val="0"/>
          <w:sz w:val="24"/>
          <w:szCs w:val="24"/>
        </w:rPr>
        <w:t>e location</w:t>
      </w:r>
      <w:r w:rsidR="00D80B6B">
        <w:rPr>
          <w:snapToGrid w:val="0"/>
          <w:sz w:val="24"/>
          <w:szCs w:val="24"/>
        </w:rPr>
        <w:t>.</w:t>
      </w:r>
    </w:p>
    <w:p w14:paraId="0DFAB89A" w14:textId="77777777" w:rsidR="00EF4D93" w:rsidRDefault="00EF4D93" w:rsidP="00D80B6B">
      <w:pPr>
        <w:widowControl w:val="0"/>
        <w:tabs>
          <w:tab w:val="left" w:pos="90"/>
          <w:tab w:val="left" w:pos="1890"/>
          <w:tab w:val="left" w:pos="2160"/>
          <w:tab w:val="left" w:pos="3690"/>
          <w:tab w:val="left" w:pos="5490"/>
          <w:tab w:val="left" w:pos="7650"/>
          <w:tab w:val="left" w:pos="8370"/>
          <w:tab w:val="left" w:pos="8460"/>
          <w:tab w:val="left" w:pos="9180"/>
          <w:tab w:val="left" w:pos="9270"/>
          <w:tab w:val="left" w:pos="9360"/>
        </w:tabs>
        <w:rPr>
          <w:snapToGrid w:val="0"/>
          <w:sz w:val="24"/>
          <w:szCs w:val="24"/>
        </w:rPr>
      </w:pPr>
    </w:p>
    <w:p w14:paraId="166EC0DC" w14:textId="4D308A75" w:rsidR="00EF4D93" w:rsidRDefault="00EF4D93" w:rsidP="00AE113D">
      <w:pPr>
        <w:widowControl w:val="0"/>
        <w:tabs>
          <w:tab w:val="left" w:pos="90"/>
          <w:tab w:val="left" w:pos="1890"/>
          <w:tab w:val="left" w:pos="2160"/>
          <w:tab w:val="left" w:pos="3690"/>
          <w:tab w:val="left" w:pos="5490"/>
          <w:tab w:val="left" w:pos="7650"/>
          <w:tab w:val="left" w:pos="8370"/>
          <w:tab w:val="left" w:pos="8460"/>
          <w:tab w:val="left" w:pos="9180"/>
          <w:tab w:val="left" w:pos="9270"/>
          <w:tab w:val="left" w:pos="9360"/>
        </w:tabs>
        <w:rPr>
          <w:snapToGrid w:val="0"/>
          <w:sz w:val="24"/>
          <w:szCs w:val="24"/>
        </w:rPr>
      </w:pPr>
      <w:r>
        <w:rPr>
          <w:snapToGrid w:val="0"/>
          <w:sz w:val="24"/>
          <w:szCs w:val="24"/>
        </w:rPr>
        <w:t xml:space="preserve">    </w:t>
      </w:r>
      <w:r w:rsidR="002036D0">
        <w:rPr>
          <w:snapToGrid w:val="0"/>
          <w:sz w:val="24"/>
          <w:szCs w:val="24"/>
        </w:rPr>
        <w:t>Rolling Wheels did receive a</w:t>
      </w:r>
      <w:r w:rsidR="005A1010">
        <w:rPr>
          <w:snapToGrid w:val="0"/>
          <w:sz w:val="24"/>
          <w:szCs w:val="24"/>
        </w:rPr>
        <w:t xml:space="preserve"> violation</w:t>
      </w:r>
      <w:r w:rsidR="002036D0">
        <w:rPr>
          <w:snapToGrid w:val="0"/>
          <w:sz w:val="24"/>
          <w:szCs w:val="24"/>
        </w:rPr>
        <w:t xml:space="preserve"> on May 13,</w:t>
      </w:r>
      <w:r w:rsidR="005A1010">
        <w:rPr>
          <w:snapToGrid w:val="0"/>
          <w:sz w:val="24"/>
          <w:szCs w:val="24"/>
        </w:rPr>
        <w:t>202</w:t>
      </w:r>
      <w:r w:rsidR="002036D0">
        <w:rPr>
          <w:snapToGrid w:val="0"/>
          <w:sz w:val="24"/>
          <w:szCs w:val="24"/>
        </w:rPr>
        <w:t>4</w:t>
      </w:r>
      <w:r w:rsidR="005A1010">
        <w:rPr>
          <w:snapToGrid w:val="0"/>
          <w:sz w:val="24"/>
          <w:szCs w:val="24"/>
        </w:rPr>
        <w:t xml:space="preserve"> was for missing the </w:t>
      </w:r>
      <w:r w:rsidR="002036D0">
        <w:rPr>
          <w:snapToGrid w:val="0"/>
          <w:sz w:val="24"/>
          <w:szCs w:val="24"/>
        </w:rPr>
        <w:t>first</w:t>
      </w:r>
      <w:r w:rsidR="005A1010">
        <w:rPr>
          <w:snapToGrid w:val="0"/>
          <w:sz w:val="24"/>
          <w:szCs w:val="24"/>
        </w:rPr>
        <w:t xml:space="preserve"> quarter monitoring for the disinfection by-products</w:t>
      </w:r>
      <w:r w:rsidR="00A22938">
        <w:rPr>
          <w:snapToGrid w:val="0"/>
          <w:sz w:val="24"/>
          <w:szCs w:val="24"/>
        </w:rPr>
        <w:t xml:space="preserve"> </w:t>
      </w:r>
      <w:r w:rsidR="00A31020">
        <w:rPr>
          <w:snapToGrid w:val="0"/>
          <w:sz w:val="24"/>
          <w:szCs w:val="24"/>
        </w:rPr>
        <w:t xml:space="preserve">called </w:t>
      </w:r>
      <w:r w:rsidR="00A22938">
        <w:rPr>
          <w:snapToGrid w:val="0"/>
          <w:sz w:val="24"/>
          <w:szCs w:val="24"/>
        </w:rPr>
        <w:t>Total Haloacetic Acids [HAA5].</w:t>
      </w:r>
      <w:r w:rsidR="00A31020">
        <w:rPr>
          <w:snapToGrid w:val="0"/>
          <w:sz w:val="24"/>
          <w:szCs w:val="24"/>
        </w:rPr>
        <w:t xml:space="preserve"> </w:t>
      </w:r>
      <w:r w:rsidR="002036D0">
        <w:rPr>
          <w:snapToGrid w:val="0"/>
          <w:sz w:val="24"/>
          <w:szCs w:val="24"/>
        </w:rPr>
        <w:t xml:space="preserve">On 3/8/2024 a sample was taken to the lab and there was a problem with the sample so we resampled on 3/28/24 and the lab reported a lab accident. This put us over the required time frame the sample was to be taken and this caused the violation. </w:t>
      </w:r>
      <w:r w:rsidR="00AE113D">
        <w:rPr>
          <w:snapToGrid w:val="0"/>
          <w:sz w:val="24"/>
          <w:szCs w:val="24"/>
        </w:rPr>
        <w:t>We</w:t>
      </w:r>
      <w:r w:rsidR="00503071">
        <w:rPr>
          <w:snapToGrid w:val="0"/>
          <w:sz w:val="24"/>
          <w:szCs w:val="24"/>
        </w:rPr>
        <w:t xml:space="preserve"> collected</w:t>
      </w:r>
      <w:r w:rsidR="00AE113D">
        <w:rPr>
          <w:snapToGrid w:val="0"/>
          <w:sz w:val="24"/>
          <w:szCs w:val="24"/>
        </w:rPr>
        <w:t xml:space="preserve"> another set of these samples on 6/13/2024</w:t>
      </w:r>
      <w:r w:rsidR="00503071">
        <w:rPr>
          <w:snapToGrid w:val="0"/>
          <w:sz w:val="24"/>
          <w:szCs w:val="24"/>
        </w:rPr>
        <w:t xml:space="preserve"> and </w:t>
      </w:r>
      <w:r w:rsidR="001706E8">
        <w:rPr>
          <w:snapToGrid w:val="0"/>
          <w:sz w:val="24"/>
          <w:szCs w:val="24"/>
        </w:rPr>
        <w:t>sent to the la</w:t>
      </w:r>
      <w:r w:rsidR="00180A57">
        <w:rPr>
          <w:snapToGrid w:val="0"/>
          <w:sz w:val="24"/>
          <w:szCs w:val="24"/>
        </w:rPr>
        <w:t>b</w:t>
      </w:r>
      <w:r w:rsidR="00F3763C">
        <w:rPr>
          <w:snapToGrid w:val="0"/>
          <w:sz w:val="24"/>
          <w:szCs w:val="24"/>
        </w:rPr>
        <w:t xml:space="preserve">. </w:t>
      </w:r>
      <w:r w:rsidR="00180A57">
        <w:rPr>
          <w:snapToGrid w:val="0"/>
          <w:sz w:val="24"/>
          <w:szCs w:val="24"/>
        </w:rPr>
        <w:t xml:space="preserve">Once the samples were </w:t>
      </w:r>
      <w:r w:rsidR="00F3763C">
        <w:rPr>
          <w:snapToGrid w:val="0"/>
          <w:sz w:val="24"/>
          <w:szCs w:val="24"/>
        </w:rPr>
        <w:t>tested</w:t>
      </w:r>
      <w:r w:rsidR="00815958">
        <w:rPr>
          <w:snapToGrid w:val="0"/>
          <w:sz w:val="24"/>
          <w:szCs w:val="24"/>
        </w:rPr>
        <w:t xml:space="preserve"> and retur</w:t>
      </w:r>
      <w:r w:rsidR="00C7002D">
        <w:rPr>
          <w:snapToGrid w:val="0"/>
          <w:sz w:val="24"/>
          <w:szCs w:val="24"/>
        </w:rPr>
        <w:t>n</w:t>
      </w:r>
      <w:r w:rsidR="00F12E37">
        <w:rPr>
          <w:snapToGrid w:val="0"/>
          <w:sz w:val="24"/>
          <w:szCs w:val="24"/>
        </w:rPr>
        <w:t xml:space="preserve"> with</w:t>
      </w:r>
      <w:r w:rsidR="00C7002D">
        <w:rPr>
          <w:snapToGrid w:val="0"/>
          <w:sz w:val="24"/>
          <w:szCs w:val="24"/>
        </w:rPr>
        <w:t xml:space="preserve"> no</w:t>
      </w:r>
      <w:r w:rsidR="00F12E37">
        <w:rPr>
          <w:snapToGrid w:val="0"/>
          <w:sz w:val="24"/>
          <w:szCs w:val="24"/>
        </w:rPr>
        <w:t xml:space="preserve"> </w:t>
      </w:r>
      <w:r w:rsidR="00C7002D">
        <w:rPr>
          <w:snapToGrid w:val="0"/>
          <w:sz w:val="24"/>
          <w:szCs w:val="24"/>
        </w:rPr>
        <w:t>Total Haloa</w:t>
      </w:r>
      <w:r w:rsidR="00F12E37">
        <w:rPr>
          <w:snapToGrid w:val="0"/>
          <w:sz w:val="24"/>
          <w:szCs w:val="24"/>
        </w:rPr>
        <w:t>cetic Detected,</w:t>
      </w:r>
      <w:r w:rsidR="00180A57">
        <w:rPr>
          <w:snapToGrid w:val="0"/>
          <w:sz w:val="24"/>
          <w:szCs w:val="24"/>
        </w:rPr>
        <w:t xml:space="preserve"> we returned to complianc</w:t>
      </w:r>
      <w:r w:rsidR="00F3763C">
        <w:rPr>
          <w:snapToGrid w:val="0"/>
          <w:sz w:val="24"/>
          <w:szCs w:val="24"/>
        </w:rPr>
        <w:t xml:space="preserve">e. </w:t>
      </w:r>
      <w:r w:rsidR="00A22938">
        <w:rPr>
          <w:snapToGrid w:val="0"/>
          <w:sz w:val="24"/>
          <w:szCs w:val="24"/>
        </w:rPr>
        <w:t>These contaminants</w:t>
      </w:r>
      <w:r w:rsidR="00D81901">
        <w:rPr>
          <w:snapToGrid w:val="0"/>
          <w:sz w:val="24"/>
          <w:szCs w:val="24"/>
        </w:rPr>
        <w:t xml:space="preserve"> are</w:t>
      </w:r>
      <w:r w:rsidR="00A22938">
        <w:rPr>
          <w:snapToGrid w:val="0"/>
          <w:sz w:val="24"/>
          <w:szCs w:val="24"/>
        </w:rPr>
        <w:t xml:space="preserve"> by-product from the chlorine we are required to use in the water system </w:t>
      </w:r>
      <w:r w:rsidR="00DB2EBF">
        <w:rPr>
          <w:snapToGrid w:val="0"/>
          <w:sz w:val="24"/>
          <w:szCs w:val="24"/>
        </w:rPr>
        <w:t>to control microbes that</w:t>
      </w:r>
      <w:r w:rsidR="00D81901">
        <w:rPr>
          <w:snapToGrid w:val="0"/>
          <w:sz w:val="24"/>
          <w:szCs w:val="24"/>
        </w:rPr>
        <w:t xml:space="preserve"> may enter the water system</w:t>
      </w:r>
      <w:r w:rsidR="00B67962">
        <w:rPr>
          <w:snapToGrid w:val="0"/>
          <w:sz w:val="24"/>
          <w:szCs w:val="24"/>
        </w:rPr>
        <w:t>.</w:t>
      </w:r>
    </w:p>
    <w:p w14:paraId="2BB802A8" w14:textId="77777777" w:rsidR="00AE113D" w:rsidRDefault="00AE113D" w:rsidP="00AE113D">
      <w:pPr>
        <w:widowControl w:val="0"/>
        <w:tabs>
          <w:tab w:val="left" w:pos="90"/>
          <w:tab w:val="left" w:pos="1890"/>
          <w:tab w:val="left" w:pos="2160"/>
          <w:tab w:val="left" w:pos="3690"/>
          <w:tab w:val="left" w:pos="5490"/>
          <w:tab w:val="left" w:pos="7650"/>
          <w:tab w:val="left" w:pos="8370"/>
          <w:tab w:val="left" w:pos="8460"/>
          <w:tab w:val="left" w:pos="9180"/>
          <w:tab w:val="left" w:pos="9270"/>
          <w:tab w:val="left" w:pos="9360"/>
        </w:tabs>
        <w:rPr>
          <w:snapToGrid w:val="0"/>
          <w:sz w:val="24"/>
          <w:szCs w:val="24"/>
        </w:rPr>
      </w:pPr>
    </w:p>
    <w:p w14:paraId="31E97CEF" w14:textId="77777777" w:rsidR="00D80B6B" w:rsidRPr="00E12ADC" w:rsidRDefault="00EF4D93" w:rsidP="00D80B6B">
      <w:pPr>
        <w:widowControl w:val="0"/>
        <w:tabs>
          <w:tab w:val="left" w:pos="90"/>
          <w:tab w:val="left" w:pos="1890"/>
          <w:tab w:val="left" w:pos="2160"/>
          <w:tab w:val="left" w:pos="3690"/>
          <w:tab w:val="left" w:pos="5490"/>
          <w:tab w:val="left" w:pos="7650"/>
          <w:tab w:val="left" w:pos="8370"/>
          <w:tab w:val="left" w:pos="8460"/>
          <w:tab w:val="left" w:pos="9180"/>
          <w:tab w:val="left" w:pos="9270"/>
          <w:tab w:val="left" w:pos="9360"/>
        </w:tabs>
        <w:rPr>
          <w:snapToGrid w:val="0"/>
          <w:sz w:val="24"/>
          <w:szCs w:val="24"/>
        </w:rPr>
      </w:pPr>
      <w:r>
        <w:rPr>
          <w:snapToGrid w:val="0"/>
          <w:sz w:val="24"/>
          <w:szCs w:val="24"/>
        </w:rPr>
        <w:t xml:space="preserve">     </w:t>
      </w:r>
      <w:r w:rsidR="00D80B6B" w:rsidRPr="008E615C">
        <w:rPr>
          <w:iCs/>
          <w:sz w:val="24"/>
          <w:szCs w:val="24"/>
        </w:rPr>
        <w:t>This Consumer Confidence Report (CCR) reflects changes in drinking water regulatory requirements during 2016. All water systems were required to comply with the Total Coliform Rule from 1989 to March 31, 2016, and begin compliance with a new rule, the Revised Total Coliform Rule, on April 1, 2016. The new rule maintains the purpose to protect public health by ensuring the integrity of the drinking water distribution system and monitoring for the presence of total coliform bacteria, which includes E. coli bacteria. The U.S. EPA anticipates greater public health protection under the new rule, as it requires water systems that are vulnerable to microbial contamination to identify and fix problems. As a result, under the new rule there is no longer a maximum contaminant level violation for multiple total coliform detections. Instead, the new rule requires water systems that exceed a specified frequency of total coliform occurrences to conduct an assessment to determine if any significant deficiencies exist. If found, these must be corrected by the PWS.</w:t>
      </w:r>
    </w:p>
    <w:p w14:paraId="656A9B76" w14:textId="77777777" w:rsidR="00D80B6B" w:rsidRDefault="00D80B6B" w:rsidP="00D80B6B">
      <w:pPr>
        <w:widowControl w:val="0"/>
        <w:tabs>
          <w:tab w:val="left" w:pos="90"/>
          <w:tab w:val="left" w:pos="1890"/>
          <w:tab w:val="left" w:pos="2160"/>
          <w:tab w:val="left" w:pos="3690"/>
          <w:tab w:val="left" w:pos="5490"/>
          <w:tab w:val="left" w:pos="7650"/>
          <w:tab w:val="left" w:pos="8370"/>
          <w:tab w:val="left" w:pos="8460"/>
          <w:tab w:val="left" w:pos="9180"/>
          <w:tab w:val="left" w:pos="9270"/>
          <w:tab w:val="left" w:pos="9360"/>
        </w:tabs>
        <w:rPr>
          <w:snapToGrid w:val="0"/>
          <w:sz w:val="24"/>
          <w:szCs w:val="24"/>
        </w:rPr>
      </w:pPr>
    </w:p>
    <w:p w14:paraId="45DAF860" w14:textId="77777777" w:rsidR="00FA3C39" w:rsidRDefault="00D80B6B" w:rsidP="000C64A7">
      <w:pPr>
        <w:widowControl w:val="0"/>
        <w:tabs>
          <w:tab w:val="left" w:pos="2070"/>
          <w:tab w:val="left" w:pos="3870"/>
          <w:tab w:val="left" w:pos="5670"/>
          <w:tab w:val="left" w:pos="7830"/>
          <w:tab w:val="left" w:pos="8550"/>
          <w:tab w:val="left" w:pos="9270"/>
          <w:tab w:val="left" w:pos="9360"/>
        </w:tabs>
        <w:rPr>
          <w:snapToGrid w:val="0"/>
          <w:sz w:val="24"/>
          <w:szCs w:val="24"/>
        </w:rPr>
      </w:pPr>
      <w:r>
        <w:rPr>
          <w:snapToGrid w:val="0"/>
          <w:sz w:val="24"/>
          <w:szCs w:val="24"/>
        </w:rPr>
        <w:lastRenderedPageBreak/>
        <w:t xml:space="preserve">      </w:t>
      </w:r>
      <w:r w:rsidR="00EF30AC">
        <w:rPr>
          <w:snapToGrid w:val="0"/>
          <w:sz w:val="24"/>
          <w:szCs w:val="24"/>
        </w:rPr>
        <w:t xml:space="preserve"> The</w:t>
      </w:r>
      <w:r w:rsidR="000A50C1">
        <w:rPr>
          <w:snapToGrid w:val="0"/>
          <w:sz w:val="24"/>
          <w:szCs w:val="24"/>
        </w:rPr>
        <w:t xml:space="preserve"> sources for both tap water and bottled water include rivers, lakes, streams, ponds, reservoirs, and wells. Our water source is ground water and we operate from two wells. Our wells are 93 feet and 115 feet deep and draw water from an aquifer of sandstone and sandy shell of the Allegheny formation and </w:t>
      </w:r>
      <w:smartTag w:uri="urn:schemas-microsoft-com:office:smarttags" w:element="place">
        <w:smartTag w:uri="urn:schemas-microsoft-com:office:smarttags" w:element="City">
          <w:r w:rsidR="000A50C1">
            <w:rPr>
              <w:snapToGrid w:val="0"/>
              <w:sz w:val="24"/>
              <w:szCs w:val="24"/>
            </w:rPr>
            <w:t>Pottsville</w:t>
          </w:r>
        </w:smartTag>
      </w:smartTag>
      <w:r w:rsidR="000A50C1">
        <w:rPr>
          <w:snapToGrid w:val="0"/>
          <w:sz w:val="24"/>
          <w:szCs w:val="24"/>
        </w:rPr>
        <w:t xml:space="preserve"> </w:t>
      </w:r>
      <w:r w:rsidR="00EF30AC">
        <w:rPr>
          <w:snapToGrid w:val="0"/>
          <w:sz w:val="24"/>
          <w:szCs w:val="24"/>
        </w:rPr>
        <w:t>group. Our water treatment includes water softeners, Chlorination, PH adjustment and a pressure tank.</w:t>
      </w:r>
      <w:r w:rsidR="00FA3C39">
        <w:rPr>
          <w:snapToGrid w:val="0"/>
          <w:sz w:val="24"/>
          <w:szCs w:val="24"/>
        </w:rPr>
        <w:t xml:space="preserve"> </w:t>
      </w:r>
      <w:r w:rsidR="000A50C1">
        <w:rPr>
          <w:snapToGrid w:val="0"/>
          <w:sz w:val="24"/>
          <w:szCs w:val="24"/>
        </w:rPr>
        <w:t>As water travels over the surface of the land or through the ground, it dissolves naturally occurring minerals and in some cases, radioactive material, and can pick up substances resulting from the presence of animals or from human activity.</w:t>
      </w:r>
    </w:p>
    <w:p w14:paraId="7C775409" w14:textId="77777777" w:rsidR="000A50C1" w:rsidRDefault="00FA3C39">
      <w:pPr>
        <w:keepLines/>
        <w:widowControl w:val="0"/>
        <w:tabs>
          <w:tab w:val="left" w:pos="720"/>
          <w:tab w:val="left" w:pos="3870"/>
          <w:tab w:val="left" w:pos="5670"/>
          <w:tab w:val="left" w:pos="7830"/>
          <w:tab w:val="left" w:pos="8550"/>
          <w:tab w:val="left" w:pos="8640"/>
          <w:tab w:val="left" w:pos="9360"/>
        </w:tabs>
        <w:jc w:val="both"/>
        <w:rPr>
          <w:snapToGrid w:val="0"/>
          <w:sz w:val="24"/>
          <w:szCs w:val="24"/>
        </w:rPr>
      </w:pPr>
      <w:r>
        <w:rPr>
          <w:snapToGrid w:val="0"/>
          <w:sz w:val="24"/>
          <w:szCs w:val="24"/>
        </w:rPr>
        <w:t xml:space="preserve">          </w:t>
      </w:r>
      <w:r w:rsidR="000A50C1">
        <w:rPr>
          <w:snapToGrid w:val="0"/>
          <w:sz w:val="24"/>
          <w:szCs w:val="24"/>
        </w:rPr>
        <w:t>Contaminants that may be present in source water include: (A) Microbial contaminants, such as viruses and bacteria, which may come from sewage treatment plants, septic systems, agricultural livestock operations and wildlife; (B) Inorganic contaminants, such as salts and metals, which can be naturally-occurring or result from urban storm</w:t>
      </w:r>
      <w:r w:rsidR="000A50C1">
        <w:rPr>
          <w:b/>
          <w:bCs/>
          <w:i/>
          <w:iCs/>
          <w:snapToGrid w:val="0"/>
          <w:sz w:val="24"/>
          <w:szCs w:val="24"/>
        </w:rPr>
        <w:t xml:space="preserve"> </w:t>
      </w:r>
      <w:r w:rsidR="000A50C1">
        <w:rPr>
          <w:snapToGrid w:val="0"/>
          <w:sz w:val="24"/>
          <w:szCs w:val="24"/>
        </w:rPr>
        <w:t>water runoff, industrial or domestic wastewater discharges, oil and gas production, mining, or farming; (C) Pesticides and herbicides, which may come from a variety of sources such as agriculture, urban storm water runoff, and residential uses; (D) Organic chemical contaminants, including synthetic and volatile organic chemicals, which are by-products of industrial processes and petroleum production, and can also come from gas stations, urban storm water runoff, and septic systems; (E) Radioactive contaminants, which can be naturally-occurring or be the result of oil and gas production and mining activities.</w:t>
      </w:r>
    </w:p>
    <w:p w14:paraId="0DD4F0AC" w14:textId="304FF12B" w:rsidR="000A50C1" w:rsidRDefault="005F3235">
      <w:pPr>
        <w:keepLines/>
        <w:widowControl w:val="0"/>
        <w:tabs>
          <w:tab w:val="left" w:pos="720"/>
          <w:tab w:val="left" w:pos="3870"/>
          <w:tab w:val="left" w:pos="5670"/>
          <w:tab w:val="left" w:pos="7830"/>
          <w:tab w:val="left" w:pos="8550"/>
          <w:tab w:val="left" w:pos="8640"/>
          <w:tab w:val="left" w:pos="9360"/>
        </w:tabs>
        <w:jc w:val="both"/>
        <w:rPr>
          <w:snapToGrid w:val="0"/>
          <w:sz w:val="24"/>
          <w:szCs w:val="24"/>
        </w:rPr>
      </w:pPr>
      <w:r>
        <w:rPr>
          <w:snapToGrid w:val="0"/>
          <w:sz w:val="24"/>
          <w:szCs w:val="24"/>
        </w:rPr>
        <w:t xml:space="preserve">     </w:t>
      </w:r>
      <w:r w:rsidR="000A50C1">
        <w:rPr>
          <w:snapToGrid w:val="0"/>
          <w:sz w:val="24"/>
          <w:szCs w:val="24"/>
        </w:rPr>
        <w:t>In order to ensure that tap water is safe to drink, EPA prescribes regulations that limit the amount of certain contaminants in water provided by public water systems. FDA regulations establish limits for contaminants in bottled water that must provide the same protection for public health.</w:t>
      </w:r>
      <w:r w:rsidR="00FA3C39">
        <w:rPr>
          <w:snapToGrid w:val="0"/>
          <w:sz w:val="24"/>
          <w:szCs w:val="24"/>
        </w:rPr>
        <w:t xml:space="preserve"> </w:t>
      </w:r>
      <w:r w:rsidR="000A50C1">
        <w:rPr>
          <w:snapToGrid w:val="0"/>
          <w:sz w:val="24"/>
          <w:szCs w:val="24"/>
        </w:rPr>
        <w:t xml:space="preserve">Drinking water, including bottled water, may reasonably be expected to contain at least small amounts of some contaminants. </w:t>
      </w:r>
      <w:r w:rsidR="000A50C1">
        <w:rPr>
          <w:i/>
          <w:iCs/>
          <w:snapToGrid w:val="0"/>
          <w:sz w:val="24"/>
          <w:szCs w:val="24"/>
        </w:rPr>
        <w:t>The presence of contaminants does not necessarily indicate that water poses a health risk.</w:t>
      </w:r>
      <w:r w:rsidR="000A50C1">
        <w:rPr>
          <w:snapToGrid w:val="0"/>
          <w:sz w:val="24"/>
          <w:szCs w:val="24"/>
        </w:rPr>
        <w:t xml:space="preserve"> More information about contaminants and potential health effects can be obtained by calling the Environmental Protection Agency’s Safe Drinking Water Hotline (1-800-426-4791).</w:t>
      </w:r>
    </w:p>
    <w:p w14:paraId="3D21BC78" w14:textId="77777777" w:rsidR="000C64A7" w:rsidRDefault="000C64A7">
      <w:pPr>
        <w:keepLines/>
        <w:widowControl w:val="0"/>
        <w:tabs>
          <w:tab w:val="left" w:pos="720"/>
          <w:tab w:val="left" w:pos="3870"/>
          <w:tab w:val="left" w:pos="5670"/>
          <w:tab w:val="left" w:pos="7830"/>
          <w:tab w:val="left" w:pos="8550"/>
          <w:tab w:val="left" w:pos="8640"/>
          <w:tab w:val="left" w:pos="9360"/>
        </w:tabs>
        <w:jc w:val="both"/>
        <w:rPr>
          <w:snapToGrid w:val="0"/>
          <w:sz w:val="24"/>
          <w:szCs w:val="24"/>
        </w:rPr>
      </w:pPr>
    </w:p>
    <w:p w14:paraId="52481418" w14:textId="77777777" w:rsidR="000A50C1" w:rsidRDefault="00FA3C39">
      <w:pPr>
        <w:keepLines/>
        <w:widowControl w:val="0"/>
        <w:tabs>
          <w:tab w:val="left" w:pos="720"/>
          <w:tab w:val="left" w:pos="3870"/>
          <w:tab w:val="left" w:pos="5670"/>
          <w:tab w:val="left" w:pos="7830"/>
          <w:tab w:val="left" w:pos="8550"/>
          <w:tab w:val="left" w:pos="8640"/>
          <w:tab w:val="left" w:pos="9360"/>
        </w:tabs>
        <w:jc w:val="both"/>
        <w:rPr>
          <w:snapToGrid w:val="0"/>
          <w:sz w:val="24"/>
          <w:szCs w:val="24"/>
        </w:rPr>
      </w:pPr>
      <w:r>
        <w:rPr>
          <w:snapToGrid w:val="0"/>
          <w:sz w:val="24"/>
          <w:szCs w:val="24"/>
        </w:rPr>
        <w:t xml:space="preserve">        </w:t>
      </w:r>
      <w:r w:rsidR="000A50C1">
        <w:rPr>
          <w:snapToGrid w:val="0"/>
          <w:sz w:val="24"/>
          <w:szCs w:val="24"/>
        </w:rPr>
        <w:t xml:space="preserve"> Some people may be more vulnerable to contaminants in drinking water then the general population. Immune-compromised persons such as persons with cancer undergoing chemotherapy, persons who have undergone organ transplants, people with HIV/AIDS or other immune system disorder, some elderly, and infants can be particularly at risk from infection. These people should seek advice about drinking water from their health care providers. EPA / CDC guidelines on appropriate means to lessen the risk of infection by Cryptosporidium and other microbial contaminants are available from the Safe Drinking Water Hotline (1-800-426-4791. </w:t>
      </w:r>
    </w:p>
    <w:p w14:paraId="3237C804" w14:textId="77777777" w:rsidR="002C397D" w:rsidRDefault="000A50C1" w:rsidP="00815AD6">
      <w:pPr>
        <w:widowControl w:val="0"/>
        <w:tabs>
          <w:tab w:val="left" w:pos="90"/>
          <w:tab w:val="left" w:pos="1890"/>
          <w:tab w:val="left" w:pos="2160"/>
          <w:tab w:val="left" w:pos="3690"/>
          <w:tab w:val="left" w:pos="5490"/>
          <w:tab w:val="left" w:pos="7650"/>
          <w:tab w:val="left" w:pos="8370"/>
          <w:tab w:val="left" w:pos="8460"/>
          <w:tab w:val="left" w:pos="9180"/>
          <w:tab w:val="left" w:pos="9270"/>
          <w:tab w:val="left" w:pos="9360"/>
        </w:tabs>
        <w:rPr>
          <w:snapToGrid w:val="0"/>
          <w:sz w:val="24"/>
          <w:szCs w:val="24"/>
        </w:rPr>
      </w:pPr>
      <w:r>
        <w:rPr>
          <w:snapToGrid w:val="0"/>
          <w:sz w:val="24"/>
          <w:szCs w:val="24"/>
        </w:rPr>
        <w:t xml:space="preserve">   </w:t>
      </w:r>
      <w:r w:rsidR="00E12ADC">
        <w:rPr>
          <w:snapToGrid w:val="0"/>
          <w:sz w:val="24"/>
          <w:szCs w:val="24"/>
        </w:rPr>
        <w:t xml:space="preserve">    </w:t>
      </w:r>
    </w:p>
    <w:p w14:paraId="21011F7E" w14:textId="3A437A40" w:rsidR="00D80B6B" w:rsidRDefault="00E12ADC" w:rsidP="00D80B6B">
      <w:pPr>
        <w:pStyle w:val="Heading3"/>
      </w:pPr>
      <w:r>
        <w:rPr>
          <w:iCs/>
        </w:rPr>
        <w:t xml:space="preserve">     </w:t>
      </w:r>
      <w:r w:rsidR="00D80B6B">
        <w:t xml:space="preserve">  Most contaminants were not detec</w:t>
      </w:r>
      <w:r w:rsidR="002C0B9B">
        <w:t xml:space="preserve">ted in the water supply. </w:t>
      </w:r>
      <w:r w:rsidR="00A31020">
        <w:t>Each year</w:t>
      </w:r>
      <w:r w:rsidR="00D80B6B">
        <w:t xml:space="preserve"> we test </w:t>
      </w:r>
      <w:r w:rsidR="001F22EC">
        <w:t>for many</w:t>
      </w:r>
      <w:r w:rsidR="002C0B9B">
        <w:t xml:space="preserve"> contaminants as required by the EPA</w:t>
      </w:r>
      <w:r w:rsidR="0000020F">
        <w:t>. Most</w:t>
      </w:r>
      <w:r w:rsidR="00D80B6B">
        <w:t xml:space="preserve"> of these Contaminants were</w:t>
      </w:r>
      <w:r w:rsidR="0000020F">
        <w:t xml:space="preserve"> not</w:t>
      </w:r>
      <w:r w:rsidR="00D80B6B">
        <w:t xml:space="preserve"> found in the water system.</w:t>
      </w:r>
      <w:r w:rsidR="002C0B9B">
        <w:t xml:space="preserve"> If a contaminant was detected the results are listed in the table below.</w:t>
      </w:r>
      <w:r w:rsidR="00D80B6B">
        <w:t xml:space="preserve"> The Ohio EPA requires us to monitor for some contaminants less than once per year therefore some of our sample results could be more than one year old.</w:t>
      </w:r>
    </w:p>
    <w:p w14:paraId="4321D6AD" w14:textId="77777777" w:rsidR="000A50C1" w:rsidRDefault="002B5557">
      <w:pPr>
        <w:widowControl w:val="0"/>
        <w:tabs>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360"/>
        </w:tabs>
        <w:rPr>
          <w:snapToGrid w:val="0"/>
          <w:sz w:val="24"/>
          <w:szCs w:val="24"/>
        </w:rPr>
      </w:pPr>
      <w:r>
        <w:rPr>
          <w:snapToGrid w:val="0"/>
          <w:sz w:val="24"/>
          <w:szCs w:val="24"/>
        </w:rPr>
        <w:t xml:space="preserve"> </w:t>
      </w:r>
      <w:r w:rsidR="000A50C1">
        <w:rPr>
          <w:snapToGrid w:val="0"/>
          <w:sz w:val="24"/>
          <w:szCs w:val="24"/>
        </w:rPr>
        <w:t>In the following table you will find many terms and abbreviations you might not be familiar with. To help you better understand these terms we've provided the following definitions:</w:t>
      </w:r>
    </w:p>
    <w:p w14:paraId="043583A4" w14:textId="77777777" w:rsidR="002C397D" w:rsidRDefault="002C397D">
      <w:pPr>
        <w:widowControl w:val="0"/>
        <w:tabs>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360"/>
        </w:tabs>
        <w:rPr>
          <w:snapToGrid w:val="0"/>
          <w:sz w:val="24"/>
          <w:szCs w:val="24"/>
        </w:rPr>
      </w:pPr>
    </w:p>
    <w:p w14:paraId="1407E76C" w14:textId="77777777" w:rsidR="000A50C1" w:rsidRDefault="002C397D">
      <w:pPr>
        <w:widowControl w:val="0"/>
        <w:tabs>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360"/>
        </w:tabs>
        <w:rPr>
          <w:snapToGrid w:val="0"/>
          <w:sz w:val="24"/>
          <w:szCs w:val="24"/>
        </w:rPr>
      </w:pPr>
      <w:r>
        <w:rPr>
          <w:b/>
          <w:i/>
          <w:iCs/>
          <w:snapToGrid w:val="0"/>
          <w:sz w:val="24"/>
          <w:szCs w:val="24"/>
        </w:rPr>
        <w:t xml:space="preserve">    </w:t>
      </w:r>
      <w:r w:rsidR="000A50C1" w:rsidRPr="00D13D90">
        <w:rPr>
          <w:b/>
          <w:iCs/>
          <w:snapToGrid w:val="0"/>
          <w:sz w:val="24"/>
          <w:szCs w:val="24"/>
        </w:rPr>
        <w:t>Parts per million (ppm) or Milligrams per liter (mg/l)</w:t>
      </w:r>
      <w:r w:rsidR="000A50C1">
        <w:rPr>
          <w:snapToGrid w:val="0"/>
          <w:sz w:val="24"/>
          <w:szCs w:val="24"/>
        </w:rPr>
        <w:t xml:space="preserve"> - one part per million corresponds to one minute in two years or a single penny in $10,000.</w:t>
      </w:r>
    </w:p>
    <w:p w14:paraId="0E45E098" w14:textId="77777777" w:rsidR="000A50C1" w:rsidRDefault="002C397D">
      <w:pPr>
        <w:widowControl w:val="0"/>
        <w:tabs>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360"/>
        </w:tabs>
        <w:rPr>
          <w:i/>
          <w:iCs/>
          <w:snapToGrid w:val="0"/>
          <w:sz w:val="24"/>
          <w:szCs w:val="24"/>
        </w:rPr>
      </w:pPr>
      <w:r w:rsidRPr="00D13D90">
        <w:rPr>
          <w:b/>
          <w:iCs/>
          <w:snapToGrid w:val="0"/>
          <w:sz w:val="24"/>
          <w:szCs w:val="24"/>
        </w:rPr>
        <w:t xml:space="preserve">    </w:t>
      </w:r>
      <w:r w:rsidR="000A50C1" w:rsidRPr="00D13D90">
        <w:rPr>
          <w:b/>
          <w:iCs/>
          <w:snapToGrid w:val="0"/>
          <w:sz w:val="24"/>
          <w:szCs w:val="24"/>
        </w:rPr>
        <w:t>Parts per billion (ppb) or Micrograms per liter</w:t>
      </w:r>
      <w:r w:rsidR="000A50C1">
        <w:rPr>
          <w:snapToGrid w:val="0"/>
          <w:sz w:val="24"/>
          <w:szCs w:val="24"/>
        </w:rPr>
        <w:t xml:space="preserve"> - one part per billion corresponds to one minute in 2,000 years, or a single penny in $10,000,000. </w:t>
      </w:r>
    </w:p>
    <w:p w14:paraId="29C5F033" w14:textId="77777777" w:rsidR="000A50C1" w:rsidRDefault="002C397D">
      <w:pPr>
        <w:widowControl w:val="0"/>
        <w:tabs>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360"/>
        </w:tabs>
        <w:rPr>
          <w:snapToGrid w:val="0"/>
          <w:sz w:val="24"/>
          <w:szCs w:val="24"/>
        </w:rPr>
      </w:pPr>
      <w:r>
        <w:rPr>
          <w:b/>
          <w:iCs/>
          <w:snapToGrid w:val="0"/>
          <w:sz w:val="24"/>
          <w:szCs w:val="24"/>
        </w:rPr>
        <w:t xml:space="preserve">    </w:t>
      </w:r>
      <w:r w:rsidR="000A50C1" w:rsidRPr="002C397D">
        <w:rPr>
          <w:b/>
          <w:iCs/>
          <w:snapToGrid w:val="0"/>
          <w:sz w:val="24"/>
          <w:szCs w:val="24"/>
        </w:rPr>
        <w:t>Action Level</w:t>
      </w:r>
      <w:r w:rsidR="000A50C1" w:rsidRPr="002C397D">
        <w:rPr>
          <w:b/>
          <w:snapToGrid w:val="0"/>
          <w:sz w:val="24"/>
          <w:szCs w:val="24"/>
        </w:rPr>
        <w:t xml:space="preserve"> –( AL )</w:t>
      </w:r>
      <w:r w:rsidR="000A50C1">
        <w:rPr>
          <w:snapToGrid w:val="0"/>
          <w:sz w:val="24"/>
          <w:szCs w:val="24"/>
        </w:rPr>
        <w:t xml:space="preserve"> the concentration of a contaminant which, if exceeded, triggers treatment or other requirements which a water system must follow.</w:t>
      </w:r>
    </w:p>
    <w:p w14:paraId="299CAB39" w14:textId="77777777" w:rsidR="00671575" w:rsidRPr="001D0E5D" w:rsidRDefault="004D1864" w:rsidP="00671575">
      <w:pPr>
        <w:widowControl w:val="0"/>
        <w:adjustRightInd w:val="0"/>
        <w:rPr>
          <w:sz w:val="24"/>
          <w:szCs w:val="24"/>
        </w:rPr>
      </w:pPr>
      <w:r>
        <w:rPr>
          <w:b/>
          <w:sz w:val="24"/>
          <w:szCs w:val="24"/>
        </w:rPr>
        <w:lastRenderedPageBreak/>
        <w:t xml:space="preserve">  </w:t>
      </w:r>
      <w:r w:rsidR="00671575" w:rsidRPr="001D0E5D">
        <w:rPr>
          <w:b/>
          <w:sz w:val="24"/>
          <w:szCs w:val="24"/>
        </w:rPr>
        <w:t>Maximum Residual Disinfectant Level (MRDL):</w:t>
      </w:r>
      <w:r w:rsidR="00671575" w:rsidRPr="001D0E5D">
        <w:rPr>
          <w:sz w:val="24"/>
          <w:szCs w:val="24"/>
        </w:rPr>
        <w:t xml:space="preserve">  The highest level of a disinfectant allowed in drinking water.  There is convincing evidence that addition of a disinfectant is necessary for control of microbial contaminants.   </w:t>
      </w:r>
    </w:p>
    <w:p w14:paraId="7A616340" w14:textId="77777777" w:rsidR="002C397D" w:rsidRPr="003D169A" w:rsidRDefault="004D1864" w:rsidP="002C397D">
      <w:pPr>
        <w:widowControl w:val="0"/>
        <w:adjustRightInd w:val="0"/>
        <w:rPr>
          <w:sz w:val="24"/>
          <w:szCs w:val="24"/>
        </w:rPr>
      </w:pPr>
      <w:r>
        <w:rPr>
          <w:snapToGrid w:val="0"/>
          <w:sz w:val="24"/>
          <w:szCs w:val="24"/>
        </w:rPr>
        <w:t xml:space="preserve">  </w:t>
      </w:r>
      <w:r w:rsidR="002C397D" w:rsidRPr="00D13D90">
        <w:rPr>
          <w:b/>
          <w:sz w:val="24"/>
          <w:szCs w:val="24"/>
        </w:rPr>
        <w:t>Maximum</w:t>
      </w:r>
      <w:r w:rsidR="002C397D" w:rsidRPr="00D13D90">
        <w:rPr>
          <w:rFonts w:ascii="Calibri" w:hAnsi="Calibri" w:cs="Arial"/>
          <w:b/>
          <w:sz w:val="24"/>
          <w:szCs w:val="24"/>
        </w:rPr>
        <w:t xml:space="preserve"> Residual Disinfectant Level Goal (MRDLG):</w:t>
      </w:r>
      <w:r w:rsidR="002C397D" w:rsidRPr="004E0818">
        <w:rPr>
          <w:rFonts w:ascii="Calibri" w:hAnsi="Calibri" w:cs="Arial"/>
        </w:rPr>
        <w:t xml:space="preserve">  </w:t>
      </w:r>
      <w:r w:rsidR="002C397D" w:rsidRPr="003D169A">
        <w:rPr>
          <w:sz w:val="24"/>
          <w:szCs w:val="24"/>
        </w:rPr>
        <w:t>The level of drinking water disinfectant below which there is no known or expected risk to health.  MRDLGs do not reflect the benefits of the use of disinfectants to control microbial contaminants.</w:t>
      </w:r>
    </w:p>
    <w:p w14:paraId="05297B46" w14:textId="77777777" w:rsidR="000A50C1" w:rsidRDefault="002C397D">
      <w:pPr>
        <w:widowControl w:val="0"/>
        <w:tabs>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360"/>
        </w:tabs>
        <w:rPr>
          <w:snapToGrid w:val="0"/>
          <w:sz w:val="24"/>
          <w:szCs w:val="24"/>
        </w:rPr>
      </w:pPr>
      <w:r>
        <w:rPr>
          <w:b/>
          <w:i/>
          <w:iCs/>
          <w:snapToGrid w:val="0"/>
          <w:sz w:val="24"/>
          <w:szCs w:val="24"/>
        </w:rPr>
        <w:t xml:space="preserve">     </w:t>
      </w:r>
      <w:r w:rsidR="000A50C1" w:rsidRPr="00D13D90">
        <w:rPr>
          <w:b/>
          <w:iCs/>
          <w:snapToGrid w:val="0"/>
          <w:sz w:val="24"/>
          <w:szCs w:val="24"/>
        </w:rPr>
        <w:t>Maximum Contaminant Level</w:t>
      </w:r>
      <w:r w:rsidR="000A50C1">
        <w:rPr>
          <w:snapToGrid w:val="0"/>
          <w:sz w:val="24"/>
          <w:szCs w:val="24"/>
        </w:rPr>
        <w:t xml:space="preserve"> - The “Maximum Allowed” (MCL) is the highest level of a contaminant that is allowed in drinking water.  MCLs are set as close to the MCLGs as feasible using the best available treatment technology.</w:t>
      </w:r>
    </w:p>
    <w:p w14:paraId="236AEAFF" w14:textId="77777777" w:rsidR="000A50C1" w:rsidRDefault="003D169A">
      <w:pPr>
        <w:widowControl w:val="0"/>
        <w:tabs>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360"/>
        </w:tabs>
        <w:rPr>
          <w:snapToGrid w:val="0"/>
          <w:sz w:val="24"/>
          <w:szCs w:val="24"/>
        </w:rPr>
      </w:pPr>
      <w:r w:rsidRPr="00D13D90">
        <w:rPr>
          <w:snapToGrid w:val="0"/>
          <w:sz w:val="24"/>
          <w:szCs w:val="24"/>
        </w:rPr>
        <w:t xml:space="preserve">   </w:t>
      </w:r>
      <w:r w:rsidR="000A50C1" w:rsidRPr="00D13D90">
        <w:rPr>
          <w:b/>
          <w:iCs/>
          <w:snapToGrid w:val="0"/>
          <w:sz w:val="24"/>
          <w:szCs w:val="24"/>
        </w:rPr>
        <w:t>Maximum Contaminant Level Goal</w:t>
      </w:r>
      <w:r w:rsidR="000A50C1">
        <w:rPr>
          <w:snapToGrid w:val="0"/>
          <w:sz w:val="24"/>
          <w:szCs w:val="24"/>
        </w:rPr>
        <w:t xml:space="preserve"> -  The “Goal”(MCLG) is the level of a contaminant in drinking water below which there is no known or expected risk to health.  MCLGs allow for a margin of safety.</w:t>
      </w:r>
    </w:p>
    <w:p w14:paraId="57C605D0" w14:textId="77777777" w:rsidR="000A50C1" w:rsidRPr="00D13D90" w:rsidRDefault="00E12ADC">
      <w:pPr>
        <w:widowControl w:val="0"/>
        <w:tabs>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360"/>
        </w:tabs>
        <w:rPr>
          <w:b/>
          <w:snapToGrid w:val="0"/>
          <w:sz w:val="24"/>
          <w:szCs w:val="24"/>
        </w:rPr>
      </w:pPr>
      <w:r>
        <w:rPr>
          <w:b/>
          <w:i/>
          <w:snapToGrid w:val="0"/>
          <w:sz w:val="24"/>
          <w:szCs w:val="24"/>
        </w:rPr>
        <w:t xml:space="preserve">    </w:t>
      </w:r>
      <w:r w:rsidR="000A50C1" w:rsidRPr="00D13D90">
        <w:rPr>
          <w:b/>
          <w:snapToGrid w:val="0"/>
          <w:sz w:val="24"/>
          <w:szCs w:val="24"/>
        </w:rPr>
        <w:t xml:space="preserve">Not Applicable </w:t>
      </w:r>
      <w:r w:rsidRPr="00D13D90">
        <w:rPr>
          <w:b/>
          <w:snapToGrid w:val="0"/>
          <w:sz w:val="24"/>
          <w:szCs w:val="24"/>
        </w:rPr>
        <w:t>=</w:t>
      </w:r>
      <w:r w:rsidR="000A50C1" w:rsidRPr="00D13D90">
        <w:rPr>
          <w:b/>
          <w:snapToGrid w:val="0"/>
          <w:sz w:val="24"/>
          <w:szCs w:val="24"/>
        </w:rPr>
        <w:t xml:space="preserve"> N/A</w:t>
      </w:r>
    </w:p>
    <w:p w14:paraId="62D9D9D9" w14:textId="77777777" w:rsidR="000A50C1" w:rsidRDefault="00E12ADC" w:rsidP="000C64A7">
      <w:pPr>
        <w:widowControl w:val="0"/>
        <w:tabs>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360"/>
        </w:tabs>
        <w:rPr>
          <w:snapToGrid w:val="0"/>
          <w:sz w:val="24"/>
          <w:szCs w:val="24"/>
        </w:rPr>
      </w:pPr>
      <w:r>
        <w:rPr>
          <w:b/>
          <w:i/>
          <w:snapToGrid w:val="0"/>
          <w:sz w:val="24"/>
          <w:szCs w:val="24"/>
        </w:rPr>
        <w:t xml:space="preserve">   </w:t>
      </w:r>
      <w:r w:rsidR="00FA3C39">
        <w:rPr>
          <w:b/>
          <w:i/>
          <w:snapToGrid w:val="0"/>
          <w:sz w:val="24"/>
          <w:szCs w:val="24"/>
        </w:rPr>
        <w:t xml:space="preserve">  </w:t>
      </w:r>
      <w:r w:rsidR="000A50C1">
        <w:rPr>
          <w:snapToGrid w:val="0"/>
          <w:sz w:val="24"/>
          <w:szCs w:val="24"/>
        </w:rPr>
        <w:t>MCL’s are set at very stringent levels. To understand the possible health effects described for many regulated contaminants, a person would have to drink 2 liters of water every day at the MCL level for a lifetime to have a one-in-a-million chance of having the described health effect.</w:t>
      </w:r>
    </w:p>
    <w:p w14:paraId="5A873924" w14:textId="77777777" w:rsidR="00F16887" w:rsidRPr="0000020F" w:rsidRDefault="00F16887">
      <w:pPr>
        <w:widowControl w:val="0"/>
        <w:tabs>
          <w:tab w:val="left" w:pos="27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 w:val="left" w:pos="9360"/>
        </w:tabs>
        <w:jc w:val="both"/>
        <w:rPr>
          <w:snapToGrid w:val="0"/>
          <w:sz w:val="36"/>
          <w:szCs w:val="36"/>
        </w:rPr>
      </w:pPr>
    </w:p>
    <w:p w14:paraId="10A7F5B8" w14:textId="77777777" w:rsidR="00D41938" w:rsidRDefault="00D41938" w:rsidP="00D41938">
      <w:pPr>
        <w:rPr>
          <w:b/>
          <w:bCs/>
          <w:iCs/>
          <w:sz w:val="24"/>
          <w:szCs w:val="24"/>
        </w:rPr>
      </w:pPr>
      <w:r>
        <w:rPr>
          <w:b/>
          <w:bCs/>
          <w:iCs/>
          <w:sz w:val="24"/>
          <w:szCs w:val="24"/>
        </w:rPr>
        <w:t xml:space="preserve">        </w:t>
      </w:r>
      <w:r w:rsidRPr="000C64A7">
        <w:rPr>
          <w:b/>
          <w:bCs/>
          <w:iCs/>
          <w:sz w:val="24"/>
          <w:szCs w:val="24"/>
        </w:rPr>
        <w:t>Table of contaminants that were found in Rolling Wheels Estates drinking water.</w:t>
      </w:r>
    </w:p>
    <w:tbl>
      <w:tblPr>
        <w:tblW w:w="6309" w:type="pct"/>
        <w:tblInd w:w="-1178"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501"/>
        <w:gridCol w:w="857"/>
        <w:gridCol w:w="702"/>
        <w:gridCol w:w="635"/>
        <w:gridCol w:w="724"/>
        <w:gridCol w:w="968"/>
        <w:gridCol w:w="779"/>
        <w:gridCol w:w="2834"/>
        <w:gridCol w:w="2790"/>
      </w:tblGrid>
      <w:tr w:rsidR="00D41938" w14:paraId="23E821D5" w14:textId="77777777" w:rsidTr="007D3867">
        <w:trPr>
          <w:tblHeader/>
        </w:trPr>
        <w:tc>
          <w:tcPr>
            <w:tcW w:w="637" w:type="pct"/>
            <w:vMerge w:val="restart"/>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168A4CF1" w14:textId="77777777" w:rsidR="00D41938" w:rsidRDefault="00D41938" w:rsidP="00450613">
            <w:pPr>
              <w:jc w:val="center"/>
              <w:rPr>
                <w:b/>
                <w:bCs/>
              </w:rPr>
            </w:pPr>
            <w:r>
              <w:rPr>
                <w:b/>
                <w:bCs/>
              </w:rPr>
              <w:t>Contaminants</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52B67CC3" w14:textId="77777777" w:rsidR="00D41938" w:rsidRDefault="00D41938" w:rsidP="00450613">
            <w:pPr>
              <w:jc w:val="center"/>
              <w:rPr>
                <w:b/>
                <w:bCs/>
              </w:rPr>
            </w:pPr>
            <w:r>
              <w:rPr>
                <w:b/>
                <w:bCs/>
              </w:rPr>
              <w:t>MCLG</w:t>
            </w:r>
            <w:r>
              <w:rPr>
                <w:b/>
                <w:bCs/>
              </w:rPr>
              <w:br/>
              <w:t>or</w:t>
            </w:r>
            <w:r>
              <w:rPr>
                <w:b/>
                <w:bCs/>
              </w:rPr>
              <w:br/>
              <w:t>MRDLG</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3DDD1C0F" w14:textId="77777777" w:rsidR="00D41938" w:rsidRDefault="00D41938" w:rsidP="00450613">
            <w:pPr>
              <w:jc w:val="center"/>
              <w:rPr>
                <w:b/>
                <w:bCs/>
              </w:rPr>
            </w:pPr>
            <w:r>
              <w:rPr>
                <w:b/>
                <w:bCs/>
              </w:rPr>
              <w:t>MCL,</w:t>
            </w:r>
            <w:r>
              <w:rPr>
                <w:b/>
                <w:bCs/>
              </w:rPr>
              <w:br/>
              <w:t>TT, or</w:t>
            </w:r>
            <w:r>
              <w:rPr>
                <w:b/>
                <w:bCs/>
              </w:rPr>
              <w:br/>
              <w:t>MRDL</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668A2F68" w14:textId="77777777" w:rsidR="00D41938" w:rsidRDefault="00D41938" w:rsidP="00450613">
            <w:pPr>
              <w:jc w:val="center"/>
              <w:rPr>
                <w:b/>
                <w:bCs/>
              </w:rPr>
            </w:pPr>
            <w:r>
              <w:rPr>
                <w:b/>
                <w:bCs/>
              </w:rPr>
              <w:t>Detect In</w:t>
            </w:r>
            <w:r>
              <w:rPr>
                <w:b/>
                <w:bCs/>
              </w:rPr>
              <w:br/>
              <w:t>Your Water</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5E499F51" w14:textId="77777777" w:rsidR="00D41938" w:rsidRDefault="00D41938" w:rsidP="00450613">
            <w:pPr>
              <w:jc w:val="center"/>
              <w:rPr>
                <w:b/>
                <w:bCs/>
              </w:rPr>
            </w:pPr>
            <w:r>
              <w:rPr>
                <w:b/>
                <w:bCs/>
              </w:rPr>
              <w:t>Range</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4971CDE7" w14:textId="77777777" w:rsidR="00D41938" w:rsidRDefault="00D41938" w:rsidP="00450613">
            <w:pPr>
              <w:jc w:val="center"/>
              <w:rPr>
                <w:b/>
                <w:bCs/>
              </w:rPr>
            </w:pPr>
            <w:r>
              <w:rPr>
                <w:b/>
                <w:bCs/>
              </w:rPr>
              <w:t>Sample</w:t>
            </w:r>
            <w:r>
              <w:rPr>
                <w:b/>
                <w:bCs/>
              </w:rPr>
              <w:br/>
              <w:t>Date</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2DF4EAD7" w14:textId="77777777" w:rsidR="00D41938" w:rsidRDefault="00D41938" w:rsidP="00450613">
            <w:pPr>
              <w:jc w:val="center"/>
              <w:rPr>
                <w:b/>
                <w:bCs/>
              </w:rPr>
            </w:pPr>
            <w:r>
              <w:rPr>
                <w:b/>
                <w:bCs/>
              </w:rPr>
              <w:t>Violation</w:t>
            </w:r>
          </w:p>
        </w:tc>
        <w:tc>
          <w:tcPr>
            <w:tcW w:w="1299" w:type="pct"/>
            <w:vMerge w:val="restart"/>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27E1FE5E" w14:textId="77777777" w:rsidR="00D41938" w:rsidRDefault="00D41938" w:rsidP="00450613">
            <w:pPr>
              <w:jc w:val="center"/>
              <w:rPr>
                <w:b/>
                <w:bCs/>
              </w:rPr>
            </w:pPr>
            <w:r>
              <w:rPr>
                <w:b/>
                <w:bCs/>
              </w:rPr>
              <w:t>Typical Source</w:t>
            </w:r>
          </w:p>
        </w:tc>
      </w:tr>
      <w:tr w:rsidR="00D41938" w14:paraId="3A640FF4" w14:textId="77777777" w:rsidTr="007D3867">
        <w:trPr>
          <w:tblHeader/>
        </w:trPr>
        <w:tc>
          <w:tcPr>
            <w:tcW w:w="637" w:type="pct"/>
            <w:vMerge/>
            <w:tcBorders>
              <w:top w:val="single" w:sz="6" w:space="0" w:color="000000"/>
              <w:left w:val="single" w:sz="6" w:space="0" w:color="000000"/>
              <w:bottom w:val="single" w:sz="6" w:space="0" w:color="000000"/>
              <w:right w:val="single" w:sz="6" w:space="0" w:color="000000"/>
            </w:tcBorders>
            <w:vAlign w:val="center"/>
            <w:hideMark/>
          </w:tcPr>
          <w:p w14:paraId="1B66BF60" w14:textId="77777777" w:rsidR="00D41938" w:rsidRDefault="00D41938" w:rsidP="00450613">
            <w:pPr>
              <w:rPr>
                <w:b/>
                <w:bC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FC874EE" w14:textId="77777777" w:rsidR="00D41938" w:rsidRDefault="00D41938" w:rsidP="00450613">
            <w:pPr>
              <w:rPr>
                <w:b/>
                <w:bC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83AAAFF" w14:textId="77777777" w:rsidR="00D41938" w:rsidRDefault="00D41938" w:rsidP="00450613">
            <w:pPr>
              <w:rPr>
                <w:b/>
                <w:bC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DBEDEFD" w14:textId="77777777" w:rsidR="00D41938" w:rsidRDefault="00D41938" w:rsidP="00450613">
            <w:pPr>
              <w:rPr>
                <w:b/>
                <w:bCs/>
              </w:rPr>
            </w:pPr>
          </w:p>
        </w:tc>
        <w:tc>
          <w:tcPr>
            <w:tcW w:w="0" w:type="auto"/>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7E7D6E64" w14:textId="77777777" w:rsidR="00D41938" w:rsidRDefault="00D41938" w:rsidP="00450613">
            <w:pPr>
              <w:jc w:val="center"/>
              <w:rPr>
                <w:b/>
                <w:bCs/>
              </w:rPr>
            </w:pPr>
            <w:r>
              <w:rPr>
                <w:b/>
                <w:bCs/>
              </w:rPr>
              <w:t>Low</w:t>
            </w:r>
          </w:p>
        </w:tc>
        <w:tc>
          <w:tcPr>
            <w:tcW w:w="0" w:type="auto"/>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2D00F468" w14:textId="77777777" w:rsidR="00D41938" w:rsidRDefault="00D41938" w:rsidP="00450613">
            <w:pPr>
              <w:jc w:val="center"/>
              <w:rPr>
                <w:b/>
                <w:bCs/>
              </w:rPr>
            </w:pPr>
            <w:r>
              <w:rPr>
                <w:b/>
                <w:bCs/>
              </w:rPr>
              <w:t>High</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8ACF9D9" w14:textId="77777777" w:rsidR="00D41938" w:rsidRDefault="00D41938" w:rsidP="00450613">
            <w:pPr>
              <w:rPr>
                <w:b/>
                <w:bC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EF9B8EC" w14:textId="77777777" w:rsidR="00D41938" w:rsidRDefault="00D41938" w:rsidP="00450613">
            <w:pPr>
              <w:rPr>
                <w:b/>
                <w:bCs/>
              </w:rPr>
            </w:pPr>
          </w:p>
        </w:tc>
        <w:tc>
          <w:tcPr>
            <w:tcW w:w="1299" w:type="pct"/>
            <w:vMerge/>
            <w:tcBorders>
              <w:top w:val="single" w:sz="6" w:space="0" w:color="000000"/>
              <w:left w:val="single" w:sz="6" w:space="0" w:color="000000"/>
              <w:bottom w:val="single" w:sz="6" w:space="0" w:color="000000"/>
              <w:right w:val="single" w:sz="6" w:space="0" w:color="000000"/>
            </w:tcBorders>
            <w:vAlign w:val="center"/>
            <w:hideMark/>
          </w:tcPr>
          <w:p w14:paraId="0D380D54" w14:textId="77777777" w:rsidR="00D41938" w:rsidRDefault="00D41938" w:rsidP="00450613">
            <w:pPr>
              <w:rPr>
                <w:b/>
                <w:bCs/>
              </w:rPr>
            </w:pPr>
          </w:p>
        </w:tc>
      </w:tr>
      <w:tr w:rsidR="00D41938" w14:paraId="3BA7FB64" w14:textId="77777777" w:rsidTr="00450613">
        <w:tc>
          <w:tcPr>
            <w:tcW w:w="5000" w:type="pct"/>
            <w:gridSpan w:val="9"/>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center"/>
            <w:hideMark/>
          </w:tcPr>
          <w:p w14:paraId="2BC4E593" w14:textId="77777777" w:rsidR="00D41938" w:rsidRDefault="00D41938" w:rsidP="00450613">
            <w:pPr>
              <w:rPr>
                <w:b/>
                <w:bCs/>
              </w:rPr>
            </w:pPr>
            <w:r>
              <w:rPr>
                <w:b/>
                <w:bCs/>
              </w:rPr>
              <w:t>Disinfectants &amp; Disinfection By-Products</w:t>
            </w:r>
          </w:p>
        </w:tc>
      </w:tr>
      <w:tr w:rsidR="00D41938" w14:paraId="32A07CE7" w14:textId="77777777" w:rsidTr="00450613">
        <w:tc>
          <w:tcPr>
            <w:tcW w:w="5000" w:type="pct"/>
            <w:gridSpan w:val="9"/>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center"/>
            <w:hideMark/>
          </w:tcPr>
          <w:p w14:paraId="3663EDA4" w14:textId="77777777" w:rsidR="00D41938" w:rsidRDefault="00D41938" w:rsidP="00450613">
            <w:r>
              <w:t>(There is convincing evidence that addition of a disinfectant is necessary for control of microbial contaminants)</w:t>
            </w:r>
          </w:p>
        </w:tc>
      </w:tr>
      <w:tr w:rsidR="00D41938" w14:paraId="5A20D5F1" w14:textId="77777777" w:rsidTr="007D3867">
        <w:tc>
          <w:tcPr>
            <w:tcW w:w="637"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51E478F7" w14:textId="77777777" w:rsidR="00D41938" w:rsidRDefault="00D41938" w:rsidP="00450613">
            <w:r>
              <w:t>Chlorine (as C12) (ppm)</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45018DC5" w14:textId="77777777" w:rsidR="00D41938" w:rsidRDefault="00D41938" w:rsidP="00450613">
            <w:pPr>
              <w:jc w:val="center"/>
            </w:pPr>
            <w:r>
              <w:t>4</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67A8A9F0" w14:textId="77777777" w:rsidR="00D41938" w:rsidRDefault="00D41938" w:rsidP="00450613">
            <w:pPr>
              <w:jc w:val="center"/>
            </w:pPr>
            <w:r>
              <w:t>4</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4C8C4131" w14:textId="179130E1" w:rsidR="00D41938" w:rsidRDefault="00D41938" w:rsidP="00450613">
            <w:pPr>
              <w:jc w:val="center"/>
            </w:pPr>
            <w:r>
              <w:t>1.</w:t>
            </w:r>
            <w:r w:rsidR="00B67962">
              <w:t>3</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3BADC8F2" w14:textId="61A6ABC7" w:rsidR="00D41938" w:rsidRDefault="00D41938" w:rsidP="00450613">
            <w:pPr>
              <w:jc w:val="center"/>
            </w:pPr>
            <w:r>
              <w:t>0.</w:t>
            </w:r>
            <w:r w:rsidR="006218A6">
              <w:t>6</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1502C515" w14:textId="47DC14EF" w:rsidR="00D41938" w:rsidRDefault="000E0320" w:rsidP="00450613">
            <w:pPr>
              <w:jc w:val="center"/>
            </w:pPr>
            <w:r>
              <w:t>1.9</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264F6FF3" w14:textId="0B8A2B34" w:rsidR="00D41938" w:rsidRDefault="00D41938" w:rsidP="00450613">
            <w:pPr>
              <w:jc w:val="center"/>
            </w:pPr>
            <w:r>
              <w:t>202</w:t>
            </w:r>
            <w:r w:rsidR="001F3023">
              <w:t>4</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50869564" w14:textId="77777777" w:rsidR="00D41938" w:rsidRDefault="00D41938" w:rsidP="00450613">
            <w:pPr>
              <w:jc w:val="center"/>
            </w:pPr>
            <w:r>
              <w:t>No</w:t>
            </w:r>
          </w:p>
        </w:tc>
        <w:tc>
          <w:tcPr>
            <w:tcW w:w="1299"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561E0E8B" w14:textId="77777777" w:rsidR="00D41938" w:rsidRDefault="00D41938" w:rsidP="00450613">
            <w:r>
              <w:t>Water additive used to control microbes</w:t>
            </w:r>
          </w:p>
        </w:tc>
      </w:tr>
      <w:tr w:rsidR="00D41938" w14:paraId="77A4288D" w14:textId="77777777" w:rsidTr="007D3867">
        <w:tc>
          <w:tcPr>
            <w:tcW w:w="637"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38BC6A86" w14:textId="5AC6E928" w:rsidR="00D41938" w:rsidRDefault="00D41938" w:rsidP="00450613"/>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2F4F66B4" w14:textId="306982AD" w:rsidR="00D41938" w:rsidRDefault="00D41938" w:rsidP="00450613">
            <w:pPr>
              <w:jc w:val="center"/>
            </w:pP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1423E0EF" w14:textId="0CEE6370" w:rsidR="00D41938" w:rsidRDefault="00D41938" w:rsidP="00450613">
            <w:pPr>
              <w:jc w:val="center"/>
            </w:pP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3F78E6A0" w14:textId="4EFE4D75" w:rsidR="00D41938" w:rsidRDefault="00D41938" w:rsidP="00450613"/>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1C344BA3" w14:textId="4D4E46C8" w:rsidR="00D41938" w:rsidRDefault="00D41938" w:rsidP="00450613">
            <w:pPr>
              <w:jc w:val="center"/>
            </w:pP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1D4678F2" w14:textId="32ADB6E5" w:rsidR="00D41938" w:rsidRDefault="00D41938" w:rsidP="00450613">
            <w:pPr>
              <w:jc w:val="center"/>
            </w:pP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339A8F64" w14:textId="2907FE26" w:rsidR="00D41938" w:rsidRDefault="00D41938" w:rsidP="00450613">
            <w:pPr>
              <w:jc w:val="center"/>
            </w:pP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4B7BC100" w14:textId="5CB50EDC" w:rsidR="00D41938" w:rsidRDefault="00D41938" w:rsidP="00450613">
            <w:pPr>
              <w:jc w:val="center"/>
            </w:pPr>
          </w:p>
        </w:tc>
        <w:tc>
          <w:tcPr>
            <w:tcW w:w="1299"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65A7F663" w14:textId="06328F6D" w:rsidR="00D41938" w:rsidRDefault="00D41938" w:rsidP="00450613"/>
        </w:tc>
      </w:tr>
      <w:tr w:rsidR="00D41938" w14:paraId="747B0AAB" w14:textId="77777777" w:rsidTr="007D3867">
        <w:tc>
          <w:tcPr>
            <w:tcW w:w="637"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FB49B56" w14:textId="77777777" w:rsidR="00D41938" w:rsidRDefault="00D41938" w:rsidP="00450613">
            <w:r>
              <w:t>TTHMs [Total Trihalomethanes] (ppb)</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7EB824A7" w14:textId="77777777" w:rsidR="00D41938" w:rsidRDefault="00D41938" w:rsidP="00450613">
            <w:pPr>
              <w:jc w:val="center"/>
            </w:pPr>
            <w:r>
              <w:t>NA</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796328F4" w14:textId="77777777" w:rsidR="00D41938" w:rsidRDefault="00D41938" w:rsidP="00450613">
            <w:pPr>
              <w:jc w:val="center"/>
            </w:pPr>
            <w:r>
              <w:t>80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C271671" w14:textId="4CBEEC8D" w:rsidR="00D41938" w:rsidRDefault="007A3005" w:rsidP="00450613">
            <w:pPr>
              <w:jc w:val="center"/>
            </w:pPr>
            <w:r>
              <w:t>1</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294EC5B" w14:textId="77777777" w:rsidR="00D41938" w:rsidRDefault="00D41938" w:rsidP="00450613">
            <w:pPr>
              <w:jc w:val="center"/>
            </w:pPr>
            <w:r>
              <w:t>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63C29EA" w14:textId="2FC040E8" w:rsidR="00D41938" w:rsidRDefault="00055B3A" w:rsidP="00450613">
            <w:pPr>
              <w:jc w:val="center"/>
            </w:pPr>
            <w:r>
              <w:t>1.6</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D20BB18" w14:textId="7ECDF0B4" w:rsidR="00D41938" w:rsidRDefault="00D41938" w:rsidP="00450613">
            <w:pPr>
              <w:jc w:val="center"/>
            </w:pPr>
            <w:r>
              <w:t>202</w:t>
            </w:r>
            <w:r w:rsidR="005F3235">
              <w:t>4</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BB64D55" w14:textId="77777777" w:rsidR="00D41938" w:rsidRDefault="00D41938" w:rsidP="00450613">
            <w:pPr>
              <w:jc w:val="center"/>
            </w:pPr>
            <w:r>
              <w:t>No</w:t>
            </w:r>
          </w:p>
        </w:tc>
        <w:tc>
          <w:tcPr>
            <w:tcW w:w="1299"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BC15F89" w14:textId="77777777" w:rsidR="00D41938" w:rsidRDefault="00D41938" w:rsidP="00450613">
            <w:r>
              <w:t>By-product of drinking water disinfection</w:t>
            </w:r>
          </w:p>
        </w:tc>
      </w:tr>
      <w:tr w:rsidR="00D41938" w14:paraId="753A37C2" w14:textId="77777777" w:rsidTr="00450613">
        <w:trPr>
          <w:trHeight w:val="327"/>
        </w:trPr>
        <w:tc>
          <w:tcPr>
            <w:tcW w:w="5000" w:type="pct"/>
            <w:gridSpan w:val="9"/>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45" w:type="dxa"/>
              <w:left w:w="45" w:type="dxa"/>
              <w:bottom w:w="45" w:type="dxa"/>
              <w:right w:w="45" w:type="dxa"/>
            </w:tcMar>
            <w:vAlign w:val="center"/>
          </w:tcPr>
          <w:p w14:paraId="2F5544B9" w14:textId="77777777" w:rsidR="00D41938" w:rsidRDefault="00D41938" w:rsidP="00450613">
            <w:r>
              <w:rPr>
                <w:b/>
                <w:bCs/>
              </w:rPr>
              <w:t>Inorganic Contaminants</w:t>
            </w:r>
          </w:p>
        </w:tc>
      </w:tr>
      <w:tr w:rsidR="007D3867" w14:paraId="79E9B119" w14:textId="77777777" w:rsidTr="007D3867">
        <w:tc>
          <w:tcPr>
            <w:tcW w:w="637"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557A036A" w14:textId="444D5889" w:rsidR="007D3867" w:rsidRDefault="007D3867" w:rsidP="007D3867">
            <w:r>
              <w:t>Nitrate [measured as Nitrogen] (ppm)</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44E1CFC0" w14:textId="664A5A5B" w:rsidR="007D3867" w:rsidRDefault="007D3867" w:rsidP="007D3867">
            <w:pPr>
              <w:jc w:val="center"/>
            </w:pPr>
            <w:r>
              <w:t>10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25EBD537" w14:textId="4D79460D" w:rsidR="007D3867" w:rsidRDefault="007D3867" w:rsidP="007D3867">
            <w:pPr>
              <w:jc w:val="center"/>
            </w:pPr>
            <w:r>
              <w:t>10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635F5800" w14:textId="59F0669A" w:rsidR="007D3867" w:rsidRDefault="007D3867" w:rsidP="007D3867">
            <w:pPr>
              <w:jc w:val="center"/>
            </w:pPr>
            <w:r>
              <w:t>0.13</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5BBFDA9B" w14:textId="6D180257" w:rsidR="007D3867" w:rsidRDefault="00055B3A" w:rsidP="00055B3A">
            <w:r>
              <w:t>0.128</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6A3247A5" w14:textId="1425293A" w:rsidR="007D3867" w:rsidRDefault="00055B3A" w:rsidP="007D3867">
            <w:pPr>
              <w:jc w:val="center"/>
            </w:pPr>
            <w:r>
              <w:t>0.13</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25F36EE4" w14:textId="0206177F" w:rsidR="007D3867" w:rsidRDefault="007D3867" w:rsidP="007D3867">
            <w:pPr>
              <w:jc w:val="center"/>
            </w:pPr>
            <w:r>
              <w:t>2024</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06F1F487" w14:textId="3EC00A06" w:rsidR="007D3867" w:rsidRDefault="007D3867" w:rsidP="007D3867">
            <w:pPr>
              <w:jc w:val="center"/>
            </w:pPr>
            <w:r>
              <w:t>No</w:t>
            </w:r>
          </w:p>
        </w:tc>
        <w:tc>
          <w:tcPr>
            <w:tcW w:w="1299"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0B3E8E67" w14:textId="684D6C6F" w:rsidR="007D3867" w:rsidRDefault="007D3867" w:rsidP="007D3867">
            <w:r>
              <w:t>Runoff from fertilizer use; Leaching from septic tanks, sewage; Erosion of natural deposits</w:t>
            </w:r>
          </w:p>
        </w:tc>
      </w:tr>
      <w:tr w:rsidR="007D3867" w14:paraId="76D722B7" w14:textId="77777777" w:rsidTr="007D3867">
        <w:tc>
          <w:tcPr>
            <w:tcW w:w="637"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bottom"/>
          </w:tcPr>
          <w:p w14:paraId="153C0851" w14:textId="77777777" w:rsidR="007D3867" w:rsidRDefault="007D3867" w:rsidP="007D3867">
            <w:pPr>
              <w:jc w:val="center"/>
              <w:rPr>
                <w:b/>
                <w:bCs/>
              </w:rPr>
            </w:pPr>
            <w:r>
              <w:rPr>
                <w:b/>
                <w:bCs/>
              </w:rPr>
              <w:t>Contaminants</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bottom"/>
          </w:tcPr>
          <w:p w14:paraId="3B17C532" w14:textId="77777777" w:rsidR="007D3867" w:rsidRDefault="007D3867" w:rsidP="007D3867">
            <w:pPr>
              <w:jc w:val="center"/>
              <w:rPr>
                <w:b/>
                <w:bCs/>
              </w:rPr>
            </w:pPr>
            <w:r>
              <w:rPr>
                <w:b/>
                <w:bCs/>
              </w:rPr>
              <w:t>MCLG</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bottom"/>
          </w:tcPr>
          <w:p w14:paraId="19F4EABB" w14:textId="77777777" w:rsidR="007D3867" w:rsidRDefault="007D3867" w:rsidP="007D3867">
            <w:pPr>
              <w:jc w:val="center"/>
              <w:rPr>
                <w:b/>
                <w:bCs/>
              </w:rPr>
            </w:pPr>
            <w:r>
              <w:rPr>
                <w:b/>
                <w:bCs/>
              </w:rPr>
              <w:t>AL</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bottom"/>
          </w:tcPr>
          <w:p w14:paraId="63DDBA0F" w14:textId="77777777" w:rsidR="007D3867" w:rsidRDefault="007D3867" w:rsidP="007D3867">
            <w:pPr>
              <w:jc w:val="center"/>
              <w:rPr>
                <w:b/>
                <w:bCs/>
              </w:rPr>
            </w:pPr>
            <w:r>
              <w:rPr>
                <w:b/>
                <w:bCs/>
              </w:rPr>
              <w:t>Your</w:t>
            </w:r>
            <w:r>
              <w:rPr>
                <w:b/>
                <w:bCs/>
              </w:rPr>
              <w:br/>
              <w:t>Water</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bottom"/>
          </w:tcPr>
          <w:p w14:paraId="4C37BF25" w14:textId="77777777" w:rsidR="007D3867" w:rsidRDefault="007D3867" w:rsidP="007D3867">
            <w:pPr>
              <w:jc w:val="center"/>
              <w:rPr>
                <w:b/>
                <w:bCs/>
              </w:rPr>
            </w:pPr>
            <w:r>
              <w:rPr>
                <w:b/>
                <w:bCs/>
              </w:rPr>
              <w:t>Sample</w:t>
            </w:r>
            <w:r>
              <w:rPr>
                <w:b/>
                <w:bCs/>
              </w:rPr>
              <w:br/>
              <w:t>Date</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bottom"/>
          </w:tcPr>
          <w:p w14:paraId="11ACC549" w14:textId="77777777" w:rsidR="007D3867" w:rsidRDefault="007D3867" w:rsidP="007D3867">
            <w:pPr>
              <w:jc w:val="center"/>
              <w:rPr>
                <w:b/>
                <w:bCs/>
              </w:rPr>
            </w:pPr>
            <w:r>
              <w:rPr>
                <w:b/>
                <w:bCs/>
              </w:rPr>
              <w:t># Samples</w:t>
            </w:r>
            <w:r>
              <w:rPr>
                <w:b/>
                <w:bCs/>
              </w:rPr>
              <w:br/>
              <w:t>Exceeding AL</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bottom"/>
          </w:tcPr>
          <w:p w14:paraId="2C194901" w14:textId="77777777" w:rsidR="007D3867" w:rsidRDefault="007D3867" w:rsidP="007D3867">
            <w:pPr>
              <w:jc w:val="center"/>
              <w:rPr>
                <w:b/>
                <w:bCs/>
              </w:rPr>
            </w:pPr>
            <w:r>
              <w:rPr>
                <w:b/>
                <w:bCs/>
              </w:rPr>
              <w:t>Exceeds AL</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bottom"/>
          </w:tcPr>
          <w:p w14:paraId="611269C7" w14:textId="77777777" w:rsidR="007D3867" w:rsidRDefault="007D3867" w:rsidP="007D3867">
            <w:pPr>
              <w:jc w:val="center"/>
              <w:rPr>
                <w:b/>
                <w:bCs/>
              </w:rPr>
            </w:pPr>
            <w:r>
              <w:rPr>
                <w:b/>
                <w:bCs/>
              </w:rPr>
              <w:t>Typical Source</w:t>
            </w:r>
          </w:p>
        </w:tc>
        <w:tc>
          <w:tcPr>
            <w:tcW w:w="1299"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1A70DCE6" w14:textId="77777777" w:rsidR="007D3867" w:rsidRDefault="007D3867" w:rsidP="007D3867"/>
        </w:tc>
      </w:tr>
      <w:tr w:rsidR="007D3867" w14:paraId="34A5DE22" w14:textId="77777777" w:rsidTr="007D3867">
        <w:tc>
          <w:tcPr>
            <w:tcW w:w="637"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365BCB67" w14:textId="6ACBBAAF" w:rsidR="007D3867" w:rsidRDefault="007D3867" w:rsidP="007D3867">
            <w:r>
              <w:t>Copper – action level at consumer taps (ppm)</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7A97113F" w14:textId="77777777" w:rsidR="007D3867" w:rsidRDefault="007D3867" w:rsidP="007D3867">
            <w:pPr>
              <w:jc w:val="center"/>
            </w:pPr>
            <w:r>
              <w:t>1.3</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107D8E22" w14:textId="77777777" w:rsidR="007D3867" w:rsidRDefault="007D3867" w:rsidP="007D3867">
            <w:pPr>
              <w:jc w:val="center"/>
            </w:pPr>
            <w:r>
              <w:t>1.3</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3BC265B9" w14:textId="77777777" w:rsidR="007D3867" w:rsidRDefault="007D3867" w:rsidP="007D3867">
            <w:pPr>
              <w:jc w:val="center"/>
            </w:pPr>
            <w:r>
              <w:t>0.02</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2BC54CF7" w14:textId="77777777" w:rsidR="007D3867" w:rsidRDefault="007D3867" w:rsidP="007D3867">
            <w:pPr>
              <w:jc w:val="center"/>
            </w:pPr>
            <w:r>
              <w:t>2022</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4B2662A4" w14:textId="77777777" w:rsidR="007D3867" w:rsidRDefault="007D3867" w:rsidP="007D3867">
            <w:pPr>
              <w:jc w:val="center"/>
            </w:pPr>
            <w:r>
              <w:t>no</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1AA30F4A" w14:textId="77777777" w:rsidR="007D3867" w:rsidRDefault="007D3867" w:rsidP="007D3867">
            <w:pPr>
              <w:jc w:val="center"/>
            </w:pPr>
            <w:r>
              <w:t>no</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7C8E37F6" w14:textId="77777777" w:rsidR="007D3867" w:rsidRDefault="007D3867" w:rsidP="007D3867">
            <w:r>
              <w:t>Corrosion of household plumbing systems; Erosion of natural deposits</w:t>
            </w:r>
          </w:p>
        </w:tc>
        <w:tc>
          <w:tcPr>
            <w:tcW w:w="1299"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7705CD67" w14:textId="77777777" w:rsidR="007D3867" w:rsidRDefault="007D3867" w:rsidP="007D3867"/>
        </w:tc>
      </w:tr>
      <w:tr w:rsidR="007D3867" w14:paraId="6BADC0AA" w14:textId="77777777" w:rsidTr="007D3867">
        <w:tc>
          <w:tcPr>
            <w:tcW w:w="637"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5A477F9D" w14:textId="503924DE" w:rsidR="007D3867" w:rsidRDefault="007D3867" w:rsidP="007D3867">
            <w:r>
              <w:t>Lead – action level at consumer taps (ppb)</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03F78BE5" w14:textId="77777777" w:rsidR="007D3867" w:rsidRDefault="007D3867" w:rsidP="007D3867">
            <w:pPr>
              <w:jc w:val="center"/>
            </w:pPr>
            <w:r>
              <w:t>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4ABE8C35" w14:textId="77777777" w:rsidR="007D3867" w:rsidRDefault="007D3867" w:rsidP="007D3867">
            <w:pPr>
              <w:jc w:val="center"/>
            </w:pPr>
            <w:r>
              <w:t>15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0B15BA0E" w14:textId="77777777" w:rsidR="007D3867" w:rsidRDefault="007D3867" w:rsidP="007D3867">
            <w:pPr>
              <w:jc w:val="center"/>
            </w:pPr>
            <w:r>
              <w:t>1.2</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5B8F54AB" w14:textId="77777777" w:rsidR="007D3867" w:rsidRDefault="007D3867" w:rsidP="007D3867">
            <w:r>
              <w:t xml:space="preserve">  2022</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24B01D0F" w14:textId="77777777" w:rsidR="007D3867" w:rsidRDefault="007D3867" w:rsidP="007D3867">
            <w:pPr>
              <w:jc w:val="center"/>
            </w:pPr>
            <w:r>
              <w:t>no</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1357825F" w14:textId="77777777" w:rsidR="007D3867" w:rsidRDefault="007D3867" w:rsidP="007D3867">
            <w:pPr>
              <w:jc w:val="center"/>
            </w:pPr>
            <w:r>
              <w:t>no</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1F3139A6" w14:textId="77777777" w:rsidR="007D3867" w:rsidRDefault="007D3867" w:rsidP="007D3867">
            <w:r>
              <w:t>Corrosion of household plumbing systems; Erosion of natural deposits</w:t>
            </w:r>
          </w:p>
        </w:tc>
        <w:tc>
          <w:tcPr>
            <w:tcW w:w="1299"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3E7D658E" w14:textId="77777777" w:rsidR="007D3867" w:rsidRDefault="007D3867" w:rsidP="007D3867"/>
        </w:tc>
      </w:tr>
    </w:tbl>
    <w:p w14:paraId="03C52FEC" w14:textId="77777777" w:rsidR="002C0B9B" w:rsidRDefault="002C0B9B">
      <w:pPr>
        <w:rPr>
          <w:b/>
          <w:bCs/>
          <w:iCs/>
          <w:sz w:val="24"/>
          <w:szCs w:val="24"/>
        </w:rPr>
      </w:pPr>
    </w:p>
    <w:tbl>
      <w:tblPr>
        <w:tblW w:w="250" w:type="dxa"/>
        <w:tblCellSpacing w:w="15" w:type="dxa"/>
        <w:tblInd w:w="-1269"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125"/>
        <w:gridCol w:w="30"/>
        <w:gridCol w:w="95"/>
      </w:tblGrid>
      <w:tr w:rsidR="002C0B9B" w:rsidRPr="004152E8" w14:paraId="3B2B1F8B" w14:textId="77777777" w:rsidTr="00867CDF">
        <w:trPr>
          <w:gridAfter w:val="1"/>
          <w:wAfter w:w="65" w:type="dxa"/>
          <w:trHeight w:val="357"/>
          <w:tblCellSpacing w:w="15" w:type="dxa"/>
        </w:trPr>
        <w:tc>
          <w:tcPr>
            <w:tcW w:w="95"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3ECC3572" w14:textId="77777777" w:rsidR="002C0B9B" w:rsidRPr="004152E8" w:rsidRDefault="002C0B9B" w:rsidP="004152E8">
            <w:pPr>
              <w:autoSpaceDE/>
              <w:autoSpaceDN/>
            </w:pPr>
          </w:p>
        </w:tc>
      </w:tr>
      <w:tr w:rsidR="002C0B9B" w:rsidRPr="004152E8" w14:paraId="2DD117A8" w14:textId="77777777" w:rsidTr="00867CDF">
        <w:trPr>
          <w:tblCellSpacing w:w="15" w:type="dxa"/>
        </w:trPr>
        <w:tc>
          <w:tcPr>
            <w:tcW w:w="8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065FC21" w14:textId="03C9CA44" w:rsidR="002C0B9B" w:rsidRPr="004152E8" w:rsidRDefault="002C0B9B" w:rsidP="004152E8">
            <w:pPr>
              <w:autoSpaceDE/>
              <w:autoSpaceDN/>
              <w:rPr>
                <w:color w:val="000000"/>
                <w:sz w:val="24"/>
                <w:szCs w:val="24"/>
              </w:rPr>
            </w:pPr>
          </w:p>
        </w:tc>
        <w:tc>
          <w:tcPr>
            <w:tcW w:w="8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63862F4A" w14:textId="77777777" w:rsidR="002C0B9B" w:rsidRPr="004152E8" w:rsidRDefault="002C0B9B" w:rsidP="004152E8">
            <w:pPr>
              <w:autoSpaceDE/>
              <w:autoSpaceDN/>
            </w:pPr>
          </w:p>
        </w:tc>
      </w:tr>
      <w:tr w:rsidR="002C0B9B" w:rsidRPr="004152E8" w14:paraId="65C09728" w14:textId="77777777" w:rsidTr="00867CDF">
        <w:trPr>
          <w:trHeight w:val="54"/>
          <w:tblCellSpacing w:w="15" w:type="dxa"/>
        </w:trPr>
        <w:tc>
          <w:tcPr>
            <w:tcW w:w="8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9854DDD" w14:textId="77777777" w:rsidR="002C0B9B" w:rsidRPr="004152E8" w:rsidRDefault="002C0B9B" w:rsidP="004152E8">
            <w:pPr>
              <w:autoSpaceDE/>
              <w:autoSpaceDN/>
            </w:pPr>
          </w:p>
        </w:tc>
        <w:tc>
          <w:tcPr>
            <w:tcW w:w="8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1A08FC37" w14:textId="77777777" w:rsidR="002C0B9B" w:rsidRPr="004152E8" w:rsidRDefault="002C0B9B" w:rsidP="004152E8">
            <w:pPr>
              <w:autoSpaceDE/>
              <w:autoSpaceDN/>
            </w:pPr>
          </w:p>
        </w:tc>
      </w:tr>
      <w:tr w:rsidR="002C0B9B" w:rsidRPr="004152E8" w14:paraId="03A18C70" w14:textId="77777777" w:rsidTr="00867CDF">
        <w:trPr>
          <w:tblCellSpacing w:w="15" w:type="dxa"/>
        </w:trPr>
        <w:tc>
          <w:tcPr>
            <w:tcW w:w="8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873B6D2" w14:textId="77777777" w:rsidR="002C0B9B" w:rsidRPr="004152E8" w:rsidRDefault="002C0B9B" w:rsidP="004152E8">
            <w:pPr>
              <w:autoSpaceDE/>
              <w:autoSpaceDN/>
              <w:rPr>
                <w:color w:val="000000"/>
                <w:sz w:val="24"/>
                <w:szCs w:val="24"/>
              </w:rPr>
            </w:pPr>
          </w:p>
        </w:tc>
        <w:tc>
          <w:tcPr>
            <w:tcW w:w="8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7A394F3B" w14:textId="77777777" w:rsidR="002C0B9B" w:rsidRPr="004152E8" w:rsidRDefault="002C0B9B" w:rsidP="004152E8">
            <w:pPr>
              <w:autoSpaceDE/>
              <w:autoSpaceDN/>
            </w:pPr>
          </w:p>
        </w:tc>
      </w:tr>
    </w:tbl>
    <w:p w14:paraId="67955DDB" w14:textId="77777777" w:rsidR="00C65076" w:rsidRDefault="00D41938" w:rsidP="00C65076">
      <w:pPr>
        <w:widowControl w:val="0"/>
        <w:adjustRightInd w:val="0"/>
        <w:rPr>
          <w:iCs/>
          <w:color w:val="000000"/>
          <w:sz w:val="24"/>
          <w:szCs w:val="24"/>
        </w:rPr>
      </w:pPr>
      <w:r>
        <w:rPr>
          <w:iCs/>
          <w:color w:val="000000"/>
          <w:sz w:val="24"/>
          <w:szCs w:val="24"/>
        </w:rPr>
        <w:lastRenderedPageBreak/>
        <w:t xml:space="preserve">     </w:t>
      </w:r>
      <w:r w:rsidR="002F541A">
        <w:rPr>
          <w:iCs/>
          <w:color w:val="000000"/>
          <w:sz w:val="24"/>
          <w:szCs w:val="24"/>
        </w:rPr>
        <w:t xml:space="preserve"> </w:t>
      </w:r>
      <w:r w:rsidR="00C65076" w:rsidRPr="00D80B6B">
        <w:rPr>
          <w:b/>
          <w:iCs/>
          <w:color w:val="000000"/>
          <w:sz w:val="24"/>
          <w:szCs w:val="24"/>
        </w:rPr>
        <w:t xml:space="preserve">Lead educational </w:t>
      </w:r>
      <w:r w:rsidR="00BD6C18" w:rsidRPr="00D80B6B">
        <w:rPr>
          <w:b/>
          <w:iCs/>
          <w:color w:val="000000"/>
          <w:sz w:val="24"/>
          <w:szCs w:val="24"/>
        </w:rPr>
        <w:t>information:</w:t>
      </w:r>
      <w:r w:rsidR="00C65076" w:rsidRPr="00BD6C18">
        <w:rPr>
          <w:iCs/>
          <w:color w:val="000000"/>
          <w:sz w:val="24"/>
          <w:szCs w:val="24"/>
        </w:rPr>
        <w:t xml:space="preserve"> If present, elevated levels of lead can cause serious health </w:t>
      </w:r>
      <w:r w:rsidR="00BD6C18" w:rsidRPr="00BD6C18">
        <w:rPr>
          <w:iCs/>
          <w:color w:val="000000"/>
          <w:sz w:val="24"/>
          <w:szCs w:val="24"/>
        </w:rPr>
        <w:t>problems, especially</w:t>
      </w:r>
      <w:r w:rsidR="00C65076" w:rsidRPr="00BD6C18">
        <w:rPr>
          <w:iCs/>
          <w:color w:val="000000"/>
          <w:sz w:val="24"/>
          <w:szCs w:val="24"/>
        </w:rPr>
        <w:t xml:space="preserve"> for pregnant women and young children. Lead in drinking water is primarily from materials and components associated with service lines and home plumbing. Wooster Rolling </w:t>
      </w:r>
      <w:r w:rsidR="00BD6C18" w:rsidRPr="00BD6C18">
        <w:rPr>
          <w:iCs/>
          <w:color w:val="000000"/>
          <w:sz w:val="24"/>
          <w:szCs w:val="24"/>
        </w:rPr>
        <w:t>Wheels is</w:t>
      </w:r>
      <w:r w:rsidR="00C65076" w:rsidRPr="00BD6C18">
        <w:rPr>
          <w:iCs/>
          <w:color w:val="000000"/>
          <w:sz w:val="24"/>
          <w:szCs w:val="24"/>
        </w:rPr>
        <w:t xml:space="preserve">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drinking and cooking. If you are concerned about lead in your water, testing </w:t>
      </w:r>
      <w:r w:rsidR="00BD6C18" w:rsidRPr="00BD6C18">
        <w:rPr>
          <w:iCs/>
          <w:color w:val="000000"/>
          <w:sz w:val="24"/>
          <w:szCs w:val="24"/>
        </w:rPr>
        <w:t>methods</w:t>
      </w:r>
      <w:r w:rsidR="00C65076" w:rsidRPr="00BD6C18">
        <w:rPr>
          <w:iCs/>
          <w:color w:val="000000"/>
          <w:sz w:val="24"/>
          <w:szCs w:val="24"/>
        </w:rPr>
        <w:t xml:space="preserve"> and steps you can take to minimize exposure is available from the Safe Drinking Water Hotline At </w:t>
      </w:r>
      <w:hyperlink r:id="rId8" w:history="1">
        <w:r w:rsidR="00815AD6" w:rsidRPr="00071C44">
          <w:rPr>
            <w:rStyle w:val="Hyperlink"/>
            <w:iCs/>
            <w:sz w:val="24"/>
            <w:szCs w:val="24"/>
          </w:rPr>
          <w:t>http://www.epa.gov/safewater/lead</w:t>
        </w:r>
      </w:hyperlink>
      <w:r w:rsidR="00C65076" w:rsidRPr="00BD6C18">
        <w:rPr>
          <w:iCs/>
          <w:color w:val="000000"/>
          <w:sz w:val="24"/>
          <w:szCs w:val="24"/>
        </w:rPr>
        <w:t>.</w:t>
      </w:r>
    </w:p>
    <w:p w14:paraId="263E93D5" w14:textId="77777777" w:rsidR="002F541A" w:rsidRDefault="002F541A" w:rsidP="00C65076">
      <w:pPr>
        <w:widowControl w:val="0"/>
        <w:adjustRightInd w:val="0"/>
        <w:rPr>
          <w:iCs/>
          <w:color w:val="000000"/>
          <w:sz w:val="24"/>
          <w:szCs w:val="24"/>
        </w:rPr>
      </w:pPr>
    </w:p>
    <w:p w14:paraId="044548C8" w14:textId="545DE187" w:rsidR="00C4531F" w:rsidRDefault="00FD0EAA" w:rsidP="004540A5">
      <w:pPr>
        <w:keepLines/>
        <w:widowControl w:val="0"/>
        <w:tabs>
          <w:tab w:val="left" w:pos="720"/>
          <w:tab w:val="left" w:pos="3870"/>
          <w:tab w:val="left" w:pos="5670"/>
          <w:tab w:val="left" w:pos="7830"/>
          <w:tab w:val="left" w:pos="8550"/>
          <w:tab w:val="left" w:pos="8640"/>
          <w:tab w:val="left" w:pos="9360"/>
        </w:tabs>
        <w:jc w:val="both"/>
        <w:rPr>
          <w:snapToGrid w:val="0"/>
          <w:sz w:val="24"/>
          <w:szCs w:val="24"/>
        </w:rPr>
      </w:pPr>
      <w:r>
        <w:rPr>
          <w:snapToGrid w:val="0"/>
          <w:sz w:val="24"/>
          <w:szCs w:val="24"/>
        </w:rPr>
        <w:t xml:space="preserve">     </w:t>
      </w:r>
      <w:r w:rsidR="007514E0">
        <w:rPr>
          <w:snapToGrid w:val="0"/>
          <w:sz w:val="24"/>
          <w:szCs w:val="24"/>
        </w:rPr>
        <w:t>Ohio E</w:t>
      </w:r>
      <w:r w:rsidR="004D1864">
        <w:rPr>
          <w:snapToGrid w:val="0"/>
          <w:sz w:val="24"/>
          <w:szCs w:val="24"/>
        </w:rPr>
        <w:t>PA completed a study for</w:t>
      </w:r>
      <w:r w:rsidR="007514E0">
        <w:rPr>
          <w:snapToGrid w:val="0"/>
          <w:sz w:val="24"/>
          <w:szCs w:val="24"/>
        </w:rPr>
        <w:t xml:space="preserve"> Wooster Rolling Wheels Estates source of drinking water, to identify potential contaminant sources and to provide guidance on protecting the drinking water source. According to this study, the aquifer {water-rich zone}</w:t>
      </w:r>
      <w:r w:rsidR="004D1864">
        <w:rPr>
          <w:snapToGrid w:val="0"/>
          <w:sz w:val="24"/>
          <w:szCs w:val="24"/>
        </w:rPr>
        <w:t xml:space="preserve"> </w:t>
      </w:r>
      <w:r w:rsidR="007514E0">
        <w:rPr>
          <w:snapToGrid w:val="0"/>
          <w:sz w:val="24"/>
          <w:szCs w:val="24"/>
        </w:rPr>
        <w:t>that supplies water to Wooster Rolling Wheels Estate</w:t>
      </w:r>
      <w:r w:rsidR="002225BD">
        <w:rPr>
          <w:snapToGrid w:val="0"/>
          <w:sz w:val="24"/>
          <w:szCs w:val="24"/>
        </w:rPr>
        <w:t xml:space="preserve">s has a moderate susceptibility </w:t>
      </w:r>
      <w:r w:rsidR="007514E0">
        <w:rPr>
          <w:snapToGrid w:val="0"/>
          <w:sz w:val="24"/>
          <w:szCs w:val="24"/>
        </w:rPr>
        <w:t xml:space="preserve">to </w:t>
      </w:r>
      <w:r w:rsidR="002225BD">
        <w:rPr>
          <w:snapToGrid w:val="0"/>
          <w:sz w:val="24"/>
          <w:szCs w:val="24"/>
        </w:rPr>
        <w:t xml:space="preserve">contamination. This determination is </w:t>
      </w:r>
      <w:r w:rsidR="007514E0">
        <w:rPr>
          <w:snapToGrid w:val="0"/>
          <w:sz w:val="24"/>
          <w:szCs w:val="24"/>
        </w:rPr>
        <w:t>based on the following: 1. presence of a moder</w:t>
      </w:r>
      <w:r w:rsidR="002225BD">
        <w:rPr>
          <w:snapToGrid w:val="0"/>
          <w:sz w:val="24"/>
          <w:szCs w:val="24"/>
        </w:rPr>
        <w:t>ately thick layer</w:t>
      </w:r>
      <w:r w:rsidR="007514E0">
        <w:rPr>
          <w:snapToGrid w:val="0"/>
          <w:sz w:val="24"/>
          <w:szCs w:val="24"/>
        </w:rPr>
        <w:t xml:space="preserve"> of clay/shale/other</w:t>
      </w:r>
      <w:r w:rsidR="002225BD">
        <w:rPr>
          <w:snapToGrid w:val="0"/>
          <w:sz w:val="24"/>
          <w:szCs w:val="24"/>
        </w:rPr>
        <w:t xml:space="preserve"> overlying the aquifer, 2. no evidence to suggest that ground water has been impacted by any significant levels of chemical contaminants from human activities. 3. presence of significant potential contaminant source in the protected area. This susce</w:t>
      </w:r>
      <w:r w:rsidR="000A50C1">
        <w:rPr>
          <w:snapToGrid w:val="0"/>
          <w:sz w:val="24"/>
          <w:szCs w:val="24"/>
        </w:rPr>
        <w:t>ptibility means that under currently existing conditions, the likelihood of the aquifer becoming contaminated is moderate. This likelihood can be minimized by implementing appropriate protective measures.</w:t>
      </w:r>
      <w:r w:rsidR="00355726" w:rsidRPr="00355726">
        <w:rPr>
          <w:snapToGrid w:val="0"/>
          <w:sz w:val="24"/>
          <w:szCs w:val="24"/>
        </w:rPr>
        <w:t xml:space="preserve"> </w:t>
      </w:r>
      <w:r w:rsidR="000A50C1">
        <w:rPr>
          <w:snapToGrid w:val="0"/>
          <w:sz w:val="24"/>
          <w:szCs w:val="24"/>
        </w:rPr>
        <w:t>More information about the source water assessment or what consumers can d</w:t>
      </w:r>
      <w:r w:rsidR="004A0AB5">
        <w:rPr>
          <w:snapToGrid w:val="0"/>
          <w:sz w:val="24"/>
          <w:szCs w:val="24"/>
        </w:rPr>
        <w:t xml:space="preserve">o to help protect the aquifer or </w:t>
      </w:r>
      <w:r w:rsidR="0087030D">
        <w:rPr>
          <w:snapToGrid w:val="0"/>
          <w:sz w:val="24"/>
          <w:szCs w:val="24"/>
        </w:rPr>
        <w:t>i</w:t>
      </w:r>
      <w:r w:rsidR="000A50C1">
        <w:rPr>
          <w:snapToGrid w:val="0"/>
          <w:sz w:val="24"/>
          <w:szCs w:val="24"/>
        </w:rPr>
        <w:t>f you have any questions about this report or concerning your wate</w:t>
      </w:r>
      <w:r w:rsidR="0080099C">
        <w:rPr>
          <w:snapToGrid w:val="0"/>
          <w:sz w:val="24"/>
          <w:szCs w:val="24"/>
        </w:rPr>
        <w:t>r</w:t>
      </w:r>
      <w:r w:rsidR="000A50C1">
        <w:rPr>
          <w:snapToGrid w:val="0"/>
          <w:sz w:val="24"/>
          <w:szCs w:val="24"/>
        </w:rPr>
        <w:t>, please contact</w:t>
      </w:r>
      <w:r w:rsidR="000A50C1">
        <w:rPr>
          <w:b/>
          <w:bCs/>
          <w:snapToGrid w:val="0"/>
          <w:sz w:val="24"/>
          <w:szCs w:val="24"/>
        </w:rPr>
        <w:t xml:space="preserve"> </w:t>
      </w:r>
      <w:r w:rsidR="000A50C1">
        <w:rPr>
          <w:snapToGrid w:val="0"/>
          <w:sz w:val="24"/>
          <w:szCs w:val="24"/>
        </w:rPr>
        <w:t xml:space="preserve">Richard </w:t>
      </w:r>
      <w:r w:rsidR="00553619">
        <w:rPr>
          <w:snapToGrid w:val="0"/>
          <w:sz w:val="24"/>
          <w:szCs w:val="24"/>
        </w:rPr>
        <w:t>Jackson at 330-201-0377</w:t>
      </w:r>
      <w:r w:rsidR="00636627">
        <w:rPr>
          <w:snapToGrid w:val="0"/>
          <w:sz w:val="24"/>
          <w:szCs w:val="24"/>
        </w:rPr>
        <w:t>,</w:t>
      </w:r>
      <w:r w:rsidR="004A0AB5">
        <w:rPr>
          <w:snapToGrid w:val="0"/>
          <w:sz w:val="24"/>
          <w:szCs w:val="24"/>
        </w:rPr>
        <w:t xml:space="preserve"> </w:t>
      </w:r>
      <w:r w:rsidR="00636627">
        <w:rPr>
          <w:snapToGrid w:val="0"/>
          <w:sz w:val="24"/>
          <w:szCs w:val="24"/>
        </w:rPr>
        <w:t>or</w:t>
      </w:r>
      <w:r w:rsidR="00553619">
        <w:rPr>
          <w:bCs/>
          <w:snapToGrid w:val="0"/>
          <w:sz w:val="24"/>
          <w:szCs w:val="24"/>
        </w:rPr>
        <w:t xml:space="preserve"> you can </w:t>
      </w:r>
      <w:r w:rsidR="00C4531F">
        <w:rPr>
          <w:bCs/>
          <w:snapToGrid w:val="0"/>
          <w:sz w:val="24"/>
          <w:szCs w:val="24"/>
        </w:rPr>
        <w:t xml:space="preserve">also </w:t>
      </w:r>
      <w:r w:rsidR="00553619">
        <w:rPr>
          <w:bCs/>
          <w:snapToGrid w:val="0"/>
          <w:sz w:val="24"/>
          <w:szCs w:val="24"/>
        </w:rPr>
        <w:t>call t</w:t>
      </w:r>
      <w:r w:rsidR="00553619">
        <w:rPr>
          <w:snapToGrid w:val="0"/>
          <w:sz w:val="24"/>
          <w:szCs w:val="24"/>
        </w:rPr>
        <w:t>he EPA Safe Drinking Water Hotline (1-800-426-4791</w:t>
      </w:r>
      <w:r w:rsidR="00C4531F">
        <w:rPr>
          <w:snapToGrid w:val="0"/>
          <w:sz w:val="24"/>
          <w:szCs w:val="24"/>
        </w:rPr>
        <w:t>)</w:t>
      </w:r>
      <w:r w:rsidR="00553619">
        <w:rPr>
          <w:snapToGrid w:val="0"/>
          <w:sz w:val="24"/>
          <w:szCs w:val="24"/>
        </w:rPr>
        <w:t xml:space="preserve">. </w:t>
      </w:r>
    </w:p>
    <w:p w14:paraId="6DDDCE88" w14:textId="77777777" w:rsidR="004540A5" w:rsidRDefault="004540A5" w:rsidP="004540A5">
      <w:pPr>
        <w:keepLines/>
        <w:widowControl w:val="0"/>
        <w:tabs>
          <w:tab w:val="left" w:pos="720"/>
          <w:tab w:val="left" w:pos="3870"/>
          <w:tab w:val="left" w:pos="5670"/>
          <w:tab w:val="left" w:pos="7830"/>
          <w:tab w:val="left" w:pos="8550"/>
          <w:tab w:val="left" w:pos="8640"/>
          <w:tab w:val="left" w:pos="9360"/>
        </w:tabs>
        <w:jc w:val="both"/>
        <w:rPr>
          <w:snapToGrid w:val="0"/>
          <w:sz w:val="24"/>
          <w:szCs w:val="24"/>
        </w:rPr>
      </w:pPr>
    </w:p>
    <w:p w14:paraId="7F9A3F22" w14:textId="173BA533" w:rsidR="004540A5" w:rsidRDefault="004540A5" w:rsidP="004540A5">
      <w:pPr>
        <w:keepLines/>
        <w:widowControl w:val="0"/>
        <w:tabs>
          <w:tab w:val="left" w:pos="720"/>
          <w:tab w:val="left" w:pos="3870"/>
          <w:tab w:val="left" w:pos="5670"/>
          <w:tab w:val="left" w:pos="7830"/>
          <w:tab w:val="left" w:pos="8550"/>
          <w:tab w:val="left" w:pos="8640"/>
          <w:tab w:val="left" w:pos="9360"/>
        </w:tabs>
        <w:jc w:val="both"/>
        <w:rPr>
          <w:snapToGrid w:val="0"/>
          <w:sz w:val="24"/>
          <w:szCs w:val="24"/>
        </w:rPr>
      </w:pPr>
      <w:r>
        <w:rPr>
          <w:snapToGrid w:val="0"/>
          <w:sz w:val="24"/>
          <w:szCs w:val="24"/>
        </w:rPr>
        <w:t xml:space="preserve">   Another way to protect your drinking water is throw backflow devices you can use on and around you home, we have included information on backflow prevention for you to review. If you have any questions about backflow devices, please call me at 330-201-0377.  </w:t>
      </w:r>
    </w:p>
    <w:p w14:paraId="63F315DA" w14:textId="77777777" w:rsidR="004540A5" w:rsidRPr="00636627" w:rsidRDefault="004540A5" w:rsidP="005A7569">
      <w:pPr>
        <w:rPr>
          <w:color w:val="000000"/>
          <w:sz w:val="24"/>
          <w:szCs w:val="24"/>
        </w:rPr>
      </w:pPr>
    </w:p>
    <w:p w14:paraId="7105D015" w14:textId="77777777" w:rsidR="000A50C1" w:rsidRDefault="000A50C1" w:rsidP="004A0AB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napToGrid w:val="0"/>
          <w:sz w:val="24"/>
          <w:szCs w:val="24"/>
        </w:rPr>
      </w:pPr>
      <w:r>
        <w:rPr>
          <w:snapToGrid w:val="0"/>
          <w:sz w:val="24"/>
          <w:szCs w:val="24"/>
        </w:rPr>
        <w:t xml:space="preserve"> </w:t>
      </w:r>
    </w:p>
    <w:p w14:paraId="070CB503" w14:textId="77777777" w:rsidR="000A50C1" w:rsidRDefault="000A50C1" w:rsidP="00456A44">
      <w:pPr>
        <w:keepLines/>
        <w:widowControl w:val="0"/>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snapToGrid w:val="0"/>
          <w:color w:val="000000"/>
          <w:sz w:val="24"/>
          <w:szCs w:val="24"/>
        </w:rPr>
      </w:pPr>
      <w:r>
        <w:rPr>
          <w:snapToGrid w:val="0"/>
          <w:color w:val="000000"/>
          <w:sz w:val="24"/>
          <w:szCs w:val="24"/>
        </w:rPr>
        <w:t xml:space="preserve">Sincerely </w:t>
      </w:r>
    </w:p>
    <w:p w14:paraId="0D88DF7A" w14:textId="77777777" w:rsidR="000A50C1" w:rsidRDefault="000A50C1" w:rsidP="000A50C1">
      <w:pPr>
        <w:keepLines/>
        <w:widowControl w:val="0"/>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snapToGrid w:val="0"/>
          <w:color w:val="000000"/>
          <w:sz w:val="24"/>
          <w:szCs w:val="24"/>
        </w:rPr>
      </w:pPr>
      <w:r>
        <w:rPr>
          <w:snapToGrid w:val="0"/>
          <w:color w:val="000000"/>
          <w:sz w:val="24"/>
          <w:szCs w:val="24"/>
        </w:rPr>
        <w:t xml:space="preserve">Richard Jackson  </w:t>
      </w:r>
    </w:p>
    <w:p w14:paraId="56F20550" w14:textId="77777777" w:rsidR="000A50C1" w:rsidRDefault="000A50C1">
      <w:pPr>
        <w:keepLines/>
        <w:widowControl w:val="0"/>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270" w:hanging="270"/>
        <w:jc w:val="both"/>
        <w:rPr>
          <w:snapToGrid w:val="0"/>
          <w:color w:val="000000"/>
          <w:sz w:val="24"/>
          <w:szCs w:val="24"/>
        </w:rPr>
      </w:pPr>
      <w:r>
        <w:rPr>
          <w:snapToGrid w:val="0"/>
          <w:color w:val="000000"/>
          <w:sz w:val="24"/>
          <w:szCs w:val="24"/>
        </w:rPr>
        <w:t xml:space="preserve">Plant Operator </w:t>
      </w:r>
    </w:p>
    <w:p w14:paraId="1DC2BE88" w14:textId="77777777" w:rsidR="000A50C1" w:rsidRDefault="000A50C1">
      <w:pPr>
        <w:keepLines/>
        <w:widowControl w:val="0"/>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270" w:hanging="270"/>
        <w:jc w:val="both"/>
        <w:rPr>
          <w:snapToGrid w:val="0"/>
          <w:color w:val="FF0000"/>
          <w:sz w:val="24"/>
          <w:szCs w:val="24"/>
        </w:rPr>
      </w:pPr>
      <w:r>
        <w:rPr>
          <w:i/>
          <w:iCs/>
          <w:snapToGrid w:val="0"/>
          <w:color w:val="800000"/>
          <w:sz w:val="24"/>
          <w:szCs w:val="24"/>
        </w:rPr>
        <w:tab/>
      </w:r>
    </w:p>
    <w:p w14:paraId="53143388" w14:textId="77777777" w:rsidR="000A50C1" w:rsidRDefault="000A50C1">
      <w:pPr>
        <w:widowControl w:val="0"/>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snapToGrid w:val="0"/>
          <w:color w:val="FF0000"/>
          <w:sz w:val="24"/>
          <w:szCs w:val="24"/>
        </w:rPr>
      </w:pPr>
    </w:p>
    <w:p w14:paraId="4909D73A" w14:textId="77777777" w:rsidR="000A50C1" w:rsidRDefault="000A50C1">
      <w:pPr>
        <w:widowControl w:val="0"/>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snapToGrid w:val="0"/>
          <w:color w:val="FF0000"/>
          <w:sz w:val="24"/>
          <w:szCs w:val="24"/>
        </w:rPr>
      </w:pPr>
    </w:p>
    <w:p w14:paraId="1992985A" w14:textId="77777777" w:rsidR="000A50C1" w:rsidRDefault="000A50C1">
      <w:pPr>
        <w:widowControl w:val="0"/>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snapToGrid w:val="0"/>
          <w:color w:val="FF0000"/>
          <w:sz w:val="24"/>
          <w:szCs w:val="24"/>
        </w:rPr>
      </w:pPr>
    </w:p>
    <w:p w14:paraId="27EB64BA" w14:textId="77777777" w:rsidR="000A50C1" w:rsidRDefault="000A50C1">
      <w:pPr>
        <w:widowControl w:val="0"/>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snapToGrid w:val="0"/>
          <w:sz w:val="24"/>
          <w:szCs w:val="24"/>
        </w:rPr>
      </w:pPr>
    </w:p>
    <w:sectPr w:rsidR="000A50C1" w:rsidSect="00E4559C">
      <w:headerReference w:type="default" r:id="rId9"/>
      <w:footerReference w:type="default" r:id="rId10"/>
      <w:pgSz w:w="12240" w:h="15840"/>
      <w:pgMar w:top="1008" w:right="1440" w:bottom="1008" w:left="1440" w:header="720" w:footer="94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67270B" w14:textId="77777777" w:rsidR="003A1C9C" w:rsidRDefault="003A1C9C">
      <w:r>
        <w:separator/>
      </w:r>
    </w:p>
  </w:endnote>
  <w:endnote w:type="continuationSeparator" w:id="0">
    <w:p w14:paraId="682C2BF8" w14:textId="77777777" w:rsidR="003A1C9C" w:rsidRDefault="003A1C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DECF59" w14:textId="77777777" w:rsidR="0000020F" w:rsidRDefault="0000020F">
    <w:pPr>
      <w:widowControl w:val="0"/>
      <w:tabs>
        <w:tab w:val="center" w:pos="4680"/>
        <w:tab w:val="right" w:pos="9360"/>
      </w:tabs>
      <w:rPr>
        <w:snapToGrid w:val="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E3506E" w14:textId="77777777" w:rsidR="003A1C9C" w:rsidRDefault="003A1C9C">
      <w:r>
        <w:separator/>
      </w:r>
    </w:p>
  </w:footnote>
  <w:footnote w:type="continuationSeparator" w:id="0">
    <w:p w14:paraId="0BADF5A9" w14:textId="77777777" w:rsidR="003A1C9C" w:rsidRDefault="003A1C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F8CA99" w14:textId="77777777" w:rsidR="0000020F" w:rsidRDefault="0000020F">
    <w:pPr>
      <w:widowControl w:val="0"/>
      <w:tabs>
        <w:tab w:val="center" w:pos="4680"/>
        <w:tab w:val="right" w:pos="9360"/>
      </w:tabs>
      <w:rPr>
        <w:snapToGrid w:val="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BE2F7D"/>
    <w:multiLevelType w:val="hybridMultilevel"/>
    <w:tmpl w:val="C414C0AA"/>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6A4F80"/>
    <w:multiLevelType w:val="hybridMultilevel"/>
    <w:tmpl w:val="A2D8B9A6"/>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B5A1BA4"/>
    <w:multiLevelType w:val="hybridMultilevel"/>
    <w:tmpl w:val="EBB2CA82"/>
    <w:lvl w:ilvl="0" w:tplc="D020EBE8">
      <w:start w:val="1"/>
      <w:numFmt w:val="bullet"/>
      <w:lvlText w:val=""/>
      <w:lvlJc w:val="left"/>
      <w:pPr>
        <w:ind w:left="540" w:hanging="360"/>
      </w:pPr>
      <w:rPr>
        <w:rFonts w:ascii="Symbol" w:eastAsia="Times New Roman" w:hAnsi="Symbol" w:cs="Times New Roman"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16cid:durableId="1167207539">
    <w:abstractNumId w:val="0"/>
  </w:num>
  <w:num w:numId="2" w16cid:durableId="222718508">
    <w:abstractNumId w:val="2"/>
  </w:num>
  <w:num w:numId="3" w16cid:durableId="5444874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F48"/>
    <w:rsid w:val="0000020F"/>
    <w:rsid w:val="00043D1C"/>
    <w:rsid w:val="000545FE"/>
    <w:rsid w:val="00055B3A"/>
    <w:rsid w:val="00073CF5"/>
    <w:rsid w:val="0008762B"/>
    <w:rsid w:val="000A50C1"/>
    <w:rsid w:val="000B7868"/>
    <w:rsid w:val="000B7ADD"/>
    <w:rsid w:val="000C1915"/>
    <w:rsid w:val="000C64A7"/>
    <w:rsid w:val="000E0320"/>
    <w:rsid w:val="000E28D1"/>
    <w:rsid w:val="000E571B"/>
    <w:rsid w:val="000F2601"/>
    <w:rsid w:val="001142A2"/>
    <w:rsid w:val="0014010C"/>
    <w:rsid w:val="00163939"/>
    <w:rsid w:val="001706E8"/>
    <w:rsid w:val="00180A57"/>
    <w:rsid w:val="0018351B"/>
    <w:rsid w:val="001F22EC"/>
    <w:rsid w:val="001F3023"/>
    <w:rsid w:val="002036D0"/>
    <w:rsid w:val="002123CB"/>
    <w:rsid w:val="002225BD"/>
    <w:rsid w:val="0025758A"/>
    <w:rsid w:val="002605A8"/>
    <w:rsid w:val="002619C8"/>
    <w:rsid w:val="00282E1F"/>
    <w:rsid w:val="00295E3F"/>
    <w:rsid w:val="002B5557"/>
    <w:rsid w:val="002C0B9B"/>
    <w:rsid w:val="002C397D"/>
    <w:rsid w:val="002D012E"/>
    <w:rsid w:val="002D16F6"/>
    <w:rsid w:val="002D41C3"/>
    <w:rsid w:val="002F541A"/>
    <w:rsid w:val="00336438"/>
    <w:rsid w:val="00342F6B"/>
    <w:rsid w:val="00346386"/>
    <w:rsid w:val="00355726"/>
    <w:rsid w:val="00360F48"/>
    <w:rsid w:val="003636DA"/>
    <w:rsid w:val="00370C41"/>
    <w:rsid w:val="0038109A"/>
    <w:rsid w:val="003A1C9C"/>
    <w:rsid w:val="003A452F"/>
    <w:rsid w:val="003A5504"/>
    <w:rsid w:val="003A6ED7"/>
    <w:rsid w:val="003B6F47"/>
    <w:rsid w:val="003D169A"/>
    <w:rsid w:val="003F4520"/>
    <w:rsid w:val="00400985"/>
    <w:rsid w:val="004152E8"/>
    <w:rsid w:val="00441259"/>
    <w:rsid w:val="004540A5"/>
    <w:rsid w:val="00456A44"/>
    <w:rsid w:val="004972B1"/>
    <w:rsid w:val="004A0AB5"/>
    <w:rsid w:val="004A75AC"/>
    <w:rsid w:val="004D1864"/>
    <w:rsid w:val="004D5346"/>
    <w:rsid w:val="005012A9"/>
    <w:rsid w:val="00503071"/>
    <w:rsid w:val="00515BF2"/>
    <w:rsid w:val="00524643"/>
    <w:rsid w:val="0053251A"/>
    <w:rsid w:val="00553619"/>
    <w:rsid w:val="00575445"/>
    <w:rsid w:val="00590CD8"/>
    <w:rsid w:val="005A0983"/>
    <w:rsid w:val="005A1010"/>
    <w:rsid w:val="005A7569"/>
    <w:rsid w:val="005F3235"/>
    <w:rsid w:val="00620C82"/>
    <w:rsid w:val="006218A6"/>
    <w:rsid w:val="00636627"/>
    <w:rsid w:val="006612DF"/>
    <w:rsid w:val="00671575"/>
    <w:rsid w:val="00681DD0"/>
    <w:rsid w:val="00684BE3"/>
    <w:rsid w:val="006E0F70"/>
    <w:rsid w:val="006F3FFE"/>
    <w:rsid w:val="007514E0"/>
    <w:rsid w:val="00755D6A"/>
    <w:rsid w:val="007847F0"/>
    <w:rsid w:val="00795FAB"/>
    <w:rsid w:val="007A0AFD"/>
    <w:rsid w:val="007A3005"/>
    <w:rsid w:val="007B085A"/>
    <w:rsid w:val="007D3867"/>
    <w:rsid w:val="007E2821"/>
    <w:rsid w:val="0080099C"/>
    <w:rsid w:val="008113FE"/>
    <w:rsid w:val="00813DAA"/>
    <w:rsid w:val="00815958"/>
    <w:rsid w:val="00815AD6"/>
    <w:rsid w:val="00834270"/>
    <w:rsid w:val="00867CDF"/>
    <w:rsid w:val="0087030D"/>
    <w:rsid w:val="00883DDB"/>
    <w:rsid w:val="00886184"/>
    <w:rsid w:val="008A14D0"/>
    <w:rsid w:val="008A1FF0"/>
    <w:rsid w:val="008D0364"/>
    <w:rsid w:val="008E17B1"/>
    <w:rsid w:val="00936034"/>
    <w:rsid w:val="0096070F"/>
    <w:rsid w:val="0097206D"/>
    <w:rsid w:val="00972482"/>
    <w:rsid w:val="009E2BA2"/>
    <w:rsid w:val="009E70AD"/>
    <w:rsid w:val="00A10E52"/>
    <w:rsid w:val="00A22938"/>
    <w:rsid w:val="00A31020"/>
    <w:rsid w:val="00A31FA1"/>
    <w:rsid w:val="00A37944"/>
    <w:rsid w:val="00A42A4A"/>
    <w:rsid w:val="00A45DBB"/>
    <w:rsid w:val="00A74D1D"/>
    <w:rsid w:val="00A84C51"/>
    <w:rsid w:val="00AA3DC3"/>
    <w:rsid w:val="00AA4726"/>
    <w:rsid w:val="00AE113D"/>
    <w:rsid w:val="00AF704B"/>
    <w:rsid w:val="00AF7728"/>
    <w:rsid w:val="00B16A5F"/>
    <w:rsid w:val="00B2601C"/>
    <w:rsid w:val="00B30C1F"/>
    <w:rsid w:val="00B67962"/>
    <w:rsid w:val="00B70A2E"/>
    <w:rsid w:val="00B941D6"/>
    <w:rsid w:val="00BB5922"/>
    <w:rsid w:val="00BD6C18"/>
    <w:rsid w:val="00BE4BFF"/>
    <w:rsid w:val="00C04D2B"/>
    <w:rsid w:val="00C4531F"/>
    <w:rsid w:val="00C5493D"/>
    <w:rsid w:val="00C65076"/>
    <w:rsid w:val="00C7002D"/>
    <w:rsid w:val="00C93D22"/>
    <w:rsid w:val="00CA2C8D"/>
    <w:rsid w:val="00CB7864"/>
    <w:rsid w:val="00CE3CE4"/>
    <w:rsid w:val="00CF6C3E"/>
    <w:rsid w:val="00D056B1"/>
    <w:rsid w:val="00D13D90"/>
    <w:rsid w:val="00D27E61"/>
    <w:rsid w:val="00D41938"/>
    <w:rsid w:val="00D66493"/>
    <w:rsid w:val="00D80B6B"/>
    <w:rsid w:val="00D81901"/>
    <w:rsid w:val="00DB2EBF"/>
    <w:rsid w:val="00DB7A40"/>
    <w:rsid w:val="00DC0E00"/>
    <w:rsid w:val="00DE5695"/>
    <w:rsid w:val="00E12ADC"/>
    <w:rsid w:val="00E1425D"/>
    <w:rsid w:val="00E2708C"/>
    <w:rsid w:val="00E36712"/>
    <w:rsid w:val="00E4531D"/>
    <w:rsid w:val="00E4559C"/>
    <w:rsid w:val="00E5060D"/>
    <w:rsid w:val="00E57678"/>
    <w:rsid w:val="00E93BAD"/>
    <w:rsid w:val="00E94F8B"/>
    <w:rsid w:val="00EC6FCD"/>
    <w:rsid w:val="00EF30AC"/>
    <w:rsid w:val="00EF4D93"/>
    <w:rsid w:val="00F12E37"/>
    <w:rsid w:val="00F16887"/>
    <w:rsid w:val="00F3763C"/>
    <w:rsid w:val="00F47695"/>
    <w:rsid w:val="00F82F59"/>
    <w:rsid w:val="00F9012B"/>
    <w:rsid w:val="00FA04F4"/>
    <w:rsid w:val="00FA1816"/>
    <w:rsid w:val="00FA3C39"/>
    <w:rsid w:val="00FD0EAA"/>
    <w:rsid w:val="00FE72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1689ADF0"/>
  <w15:docId w15:val="{340FE4D4-064E-4DBD-8321-66A7F5663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559C"/>
    <w:pPr>
      <w:autoSpaceDE w:val="0"/>
      <w:autoSpaceDN w:val="0"/>
      <w:spacing w:after="0" w:line="240" w:lineRule="auto"/>
    </w:pPr>
    <w:rPr>
      <w:sz w:val="20"/>
      <w:szCs w:val="20"/>
    </w:rPr>
  </w:style>
  <w:style w:type="paragraph" w:styleId="Heading1">
    <w:name w:val="heading 1"/>
    <w:basedOn w:val="Normal"/>
    <w:next w:val="Normal"/>
    <w:link w:val="Heading1Char"/>
    <w:uiPriority w:val="99"/>
    <w:qFormat/>
    <w:rsid w:val="00E4559C"/>
    <w:pPr>
      <w:keepNext/>
      <w:widowControl w:val="0"/>
      <w:outlineLvl w:val="0"/>
    </w:pPr>
    <w:rPr>
      <w:b/>
      <w:bCs/>
      <w:sz w:val="22"/>
      <w:szCs w:val="22"/>
    </w:rPr>
  </w:style>
  <w:style w:type="paragraph" w:styleId="Heading2">
    <w:name w:val="heading 2"/>
    <w:basedOn w:val="Normal"/>
    <w:next w:val="Normal"/>
    <w:link w:val="Heading2Char"/>
    <w:uiPriority w:val="99"/>
    <w:qFormat/>
    <w:rsid w:val="00E4559C"/>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1"/>
    </w:pPr>
    <w:rPr>
      <w:b/>
      <w:bCs/>
      <w:sz w:val="22"/>
      <w:szCs w:val="22"/>
    </w:rPr>
  </w:style>
  <w:style w:type="paragraph" w:styleId="Heading3">
    <w:name w:val="heading 3"/>
    <w:basedOn w:val="Normal"/>
    <w:next w:val="Normal"/>
    <w:link w:val="Heading3Char"/>
    <w:uiPriority w:val="99"/>
    <w:qFormat/>
    <w:rsid w:val="00E4559C"/>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2"/>
    </w:pPr>
    <w:rPr>
      <w:sz w:val="24"/>
      <w:szCs w:val="24"/>
    </w:rPr>
  </w:style>
  <w:style w:type="paragraph" w:styleId="Heading4">
    <w:name w:val="heading 4"/>
    <w:basedOn w:val="Normal"/>
    <w:next w:val="Normal"/>
    <w:link w:val="Heading4Char"/>
    <w:uiPriority w:val="99"/>
    <w:qFormat/>
    <w:rsid w:val="00E4559C"/>
    <w:pPr>
      <w:keepNext/>
      <w:widowControl w:val="0"/>
      <w:tabs>
        <w:tab w:val="left" w:pos="2070"/>
        <w:tab w:val="left" w:pos="3870"/>
        <w:tab w:val="left" w:pos="5670"/>
        <w:tab w:val="left" w:pos="7830"/>
        <w:tab w:val="left" w:pos="8550"/>
        <w:tab w:val="left" w:pos="9270"/>
        <w:tab w:val="left" w:pos="9360"/>
      </w:tabs>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559C"/>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E4559C"/>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E4559C"/>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E4559C"/>
    <w:rPr>
      <w:rFonts w:asciiTheme="minorHAnsi" w:eastAsiaTheme="minorEastAsia" w:hAnsiTheme="minorHAnsi" w:cstheme="minorBidi"/>
      <w:b/>
      <w:bCs/>
      <w:sz w:val="28"/>
      <w:szCs w:val="28"/>
    </w:rPr>
  </w:style>
  <w:style w:type="paragraph" w:styleId="BodyText">
    <w:name w:val="Body Text"/>
    <w:basedOn w:val="Normal"/>
    <w:link w:val="BodyTextChar"/>
    <w:uiPriority w:val="99"/>
    <w:rsid w:val="00E4559C"/>
    <w:pPr>
      <w:widowControl w:val="0"/>
    </w:pPr>
    <w:rPr>
      <w:sz w:val="24"/>
      <w:szCs w:val="24"/>
    </w:rPr>
  </w:style>
  <w:style w:type="character" w:customStyle="1" w:styleId="BodyTextChar">
    <w:name w:val="Body Text Char"/>
    <w:basedOn w:val="DefaultParagraphFont"/>
    <w:link w:val="BodyText"/>
    <w:uiPriority w:val="99"/>
    <w:semiHidden/>
    <w:rsid w:val="00E4559C"/>
    <w:rPr>
      <w:sz w:val="20"/>
      <w:szCs w:val="20"/>
    </w:rPr>
  </w:style>
  <w:style w:type="paragraph" w:styleId="BodyText2">
    <w:name w:val="Body Text 2"/>
    <w:basedOn w:val="Normal"/>
    <w:link w:val="BodyText2Char"/>
    <w:uiPriority w:val="99"/>
    <w:rsid w:val="00E4559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Pr>
      <w:sz w:val="22"/>
      <w:szCs w:val="22"/>
    </w:rPr>
  </w:style>
  <w:style w:type="character" w:customStyle="1" w:styleId="BodyText2Char">
    <w:name w:val="Body Text 2 Char"/>
    <w:basedOn w:val="DefaultParagraphFont"/>
    <w:link w:val="BodyText2"/>
    <w:uiPriority w:val="99"/>
    <w:semiHidden/>
    <w:rsid w:val="00E4559C"/>
    <w:rPr>
      <w:sz w:val="20"/>
      <w:szCs w:val="20"/>
    </w:rPr>
  </w:style>
  <w:style w:type="paragraph" w:styleId="Caption">
    <w:name w:val="caption"/>
    <w:basedOn w:val="Normal"/>
    <w:next w:val="Normal"/>
    <w:uiPriority w:val="99"/>
    <w:qFormat/>
    <w:rsid w:val="00E4559C"/>
    <w:pPr>
      <w:jc w:val="both"/>
    </w:pPr>
    <w:rPr>
      <w:b/>
      <w:bCs/>
      <w:i/>
      <w:iCs/>
    </w:rPr>
  </w:style>
  <w:style w:type="paragraph" w:styleId="BalloonText">
    <w:name w:val="Balloon Text"/>
    <w:basedOn w:val="Normal"/>
    <w:link w:val="BalloonTextChar"/>
    <w:uiPriority w:val="99"/>
    <w:semiHidden/>
    <w:rsid w:val="003B6F47"/>
    <w:rPr>
      <w:rFonts w:ascii="Tahoma" w:hAnsi="Tahoma" w:cs="Tahoma"/>
      <w:sz w:val="16"/>
      <w:szCs w:val="16"/>
    </w:rPr>
  </w:style>
  <w:style w:type="character" w:customStyle="1" w:styleId="BalloonTextChar">
    <w:name w:val="Balloon Text Char"/>
    <w:basedOn w:val="DefaultParagraphFont"/>
    <w:link w:val="BalloonText"/>
    <w:uiPriority w:val="99"/>
    <w:semiHidden/>
    <w:rsid w:val="00E4559C"/>
    <w:rPr>
      <w:rFonts w:ascii="Tahoma" w:hAnsi="Tahoma" w:cs="Tahoma"/>
      <w:sz w:val="16"/>
      <w:szCs w:val="16"/>
    </w:rPr>
  </w:style>
  <w:style w:type="character" w:styleId="Hyperlink">
    <w:name w:val="Hyperlink"/>
    <w:basedOn w:val="DefaultParagraphFont"/>
    <w:uiPriority w:val="99"/>
    <w:unhideWhenUsed/>
    <w:rsid w:val="00815AD6"/>
    <w:rPr>
      <w:color w:val="0000FF" w:themeColor="hyperlink"/>
      <w:u w:val="single"/>
    </w:rPr>
  </w:style>
  <w:style w:type="paragraph" w:styleId="ListParagraph">
    <w:name w:val="List Paragraph"/>
    <w:basedOn w:val="Normal"/>
    <w:uiPriority w:val="34"/>
    <w:qFormat/>
    <w:rsid w:val="00E506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87917">
      <w:bodyDiv w:val="1"/>
      <w:marLeft w:val="0"/>
      <w:marRight w:val="0"/>
      <w:marTop w:val="0"/>
      <w:marBottom w:val="0"/>
      <w:divBdr>
        <w:top w:val="none" w:sz="0" w:space="0" w:color="auto"/>
        <w:left w:val="none" w:sz="0" w:space="0" w:color="auto"/>
        <w:bottom w:val="none" w:sz="0" w:space="0" w:color="auto"/>
        <w:right w:val="none" w:sz="0" w:space="0" w:color="auto"/>
      </w:divBdr>
    </w:div>
    <w:div w:id="625548848">
      <w:bodyDiv w:val="1"/>
      <w:marLeft w:val="0"/>
      <w:marRight w:val="0"/>
      <w:marTop w:val="0"/>
      <w:marBottom w:val="0"/>
      <w:divBdr>
        <w:top w:val="none" w:sz="0" w:space="0" w:color="auto"/>
        <w:left w:val="none" w:sz="0" w:space="0" w:color="auto"/>
        <w:bottom w:val="none" w:sz="0" w:space="0" w:color="auto"/>
        <w:right w:val="none" w:sz="0" w:space="0" w:color="auto"/>
      </w:divBdr>
    </w:div>
    <w:div w:id="2007005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pa.gov/safewater/lea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B2C787-B786-470F-8B5C-312B2EB8E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1460</TotalTime>
  <Pages>4</Pages>
  <Words>1877</Words>
  <Characters>10699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Sprenger Enterprises, Inc.</Company>
  <LinksUpToDate>false</LinksUpToDate>
  <CharactersWithSpaces>12551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A. Sprenger</dc:creator>
  <cp:lastModifiedBy>Richard Jackson</cp:lastModifiedBy>
  <cp:revision>35</cp:revision>
  <cp:lastPrinted>2023-05-29T18:41:00Z</cp:lastPrinted>
  <dcterms:created xsi:type="dcterms:W3CDTF">2025-05-02T12:55:00Z</dcterms:created>
  <dcterms:modified xsi:type="dcterms:W3CDTF">2025-05-10T13:51:00Z</dcterms:modified>
</cp:coreProperties>
</file>